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600"/>
        <w:jc w:val="center"/>
        <w:rPr>
          <w:b/>
          <w:sz w:val="52"/>
          <w:szCs w:val="52"/>
        </w:rPr>
      </w:pPr>
      <w:bookmarkStart w:id="1" w:name="_GoBack"/>
      <w:bookmarkEnd w:id="1"/>
      <w:r>
        <w:rPr>
          <w:rFonts w:hint="eastAsia"/>
          <w:b/>
          <w:sz w:val="52"/>
          <w:szCs w:val="52"/>
        </w:rPr>
        <w:t>2015年度大埔县银江镇人民政府</w:t>
      </w:r>
    </w:p>
    <w:p>
      <w:pPr>
        <w:jc w:val="center"/>
        <w:rPr>
          <w:b/>
          <w:sz w:val="52"/>
          <w:szCs w:val="52"/>
        </w:rPr>
      </w:pPr>
      <w:r>
        <w:rPr>
          <w:rFonts w:hint="eastAsia"/>
          <w:b/>
          <w:sz w:val="52"/>
          <w:szCs w:val="52"/>
        </w:rPr>
        <w:t>决  算</w:t>
      </w:r>
    </w:p>
    <w:p>
      <w:pPr>
        <w:widowControl/>
        <w:jc w:val="left"/>
        <w:rPr>
          <w:b/>
          <w:sz w:val="52"/>
          <w:szCs w:val="52"/>
        </w:rPr>
      </w:pPr>
      <w:r>
        <w:rPr>
          <w:b/>
          <w:sz w:val="52"/>
          <w:szCs w:val="52"/>
        </w:rPr>
        <w:br w:type="page"/>
      </w:r>
    </w:p>
    <w:p>
      <w:pPr>
        <w:jc w:val="center"/>
        <w:rPr>
          <w:rFonts w:ascii="黑体" w:hAnsi="黑体" w:eastAsia="黑体"/>
          <w:b/>
          <w:sz w:val="36"/>
          <w:szCs w:val="36"/>
        </w:rPr>
      </w:pPr>
      <w:r>
        <w:rPr>
          <w:rFonts w:hint="eastAsia" w:ascii="黑体" w:hAnsi="黑体" w:eastAsia="黑体"/>
          <w:b/>
          <w:sz w:val="36"/>
          <w:szCs w:val="36"/>
        </w:rPr>
        <w:t>目 录</w:t>
      </w:r>
    </w:p>
    <w:p>
      <w:pPr>
        <w:rPr>
          <w:rFonts w:ascii="黑体" w:hAnsi="黑体" w:eastAsia="黑体"/>
          <w:b/>
          <w:sz w:val="36"/>
          <w:szCs w:val="36"/>
        </w:rPr>
      </w:pPr>
      <w:r>
        <w:rPr>
          <w:rFonts w:hint="eastAsia" w:ascii="黑体" w:hAnsi="黑体" w:eastAsia="黑体"/>
          <w:b/>
          <w:sz w:val="32"/>
          <w:szCs w:val="32"/>
        </w:rPr>
        <w:t>第一部分 2015年大埔县银江镇人民政府基本情况</w:t>
      </w:r>
    </w:p>
    <w:p>
      <w:pPr>
        <w:pStyle w:val="10"/>
        <w:numPr>
          <w:ilvl w:val="0"/>
          <w:numId w:val="1"/>
        </w:numPr>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部门职责</w:t>
      </w:r>
    </w:p>
    <w:p>
      <w:pPr>
        <w:pStyle w:val="10"/>
        <w:numPr>
          <w:ilvl w:val="0"/>
          <w:numId w:val="1"/>
        </w:numPr>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机构设置</w:t>
      </w:r>
    </w:p>
    <w:p>
      <w:pPr>
        <w:spacing w:beforeLines="200"/>
        <w:jc w:val="left"/>
        <w:rPr>
          <w:rFonts w:ascii="黑体" w:hAnsi="黑体" w:eastAsia="黑体"/>
          <w:b/>
          <w:sz w:val="32"/>
          <w:szCs w:val="32"/>
        </w:rPr>
      </w:pPr>
      <w:r>
        <w:rPr>
          <w:rFonts w:hint="eastAsia" w:ascii="黑体" w:hAnsi="黑体" w:eastAsia="黑体"/>
          <w:b/>
          <w:sz w:val="32"/>
          <w:szCs w:val="32"/>
        </w:rPr>
        <w:t>第二部分 2015年大埔县银江镇人民政府决算表</w:t>
      </w:r>
    </w:p>
    <w:p>
      <w:pPr>
        <w:pStyle w:val="10"/>
        <w:numPr>
          <w:ilvl w:val="0"/>
          <w:numId w:val="2"/>
        </w:numPr>
        <w:ind w:firstLineChars="0"/>
        <w:jc w:val="left"/>
        <w:rPr>
          <w:sz w:val="28"/>
          <w:szCs w:val="28"/>
        </w:rPr>
      </w:pPr>
      <w:r>
        <w:rPr>
          <w:rFonts w:hint="eastAsia"/>
          <w:sz w:val="28"/>
          <w:szCs w:val="28"/>
        </w:rPr>
        <w:t>收入支出决算总表</w:t>
      </w:r>
    </w:p>
    <w:p>
      <w:pPr>
        <w:pStyle w:val="10"/>
        <w:numPr>
          <w:ilvl w:val="0"/>
          <w:numId w:val="2"/>
        </w:numPr>
        <w:ind w:firstLineChars="0"/>
        <w:jc w:val="left"/>
        <w:rPr>
          <w:sz w:val="28"/>
          <w:szCs w:val="28"/>
        </w:rPr>
      </w:pPr>
      <w:r>
        <w:rPr>
          <w:rFonts w:hint="eastAsia"/>
          <w:sz w:val="28"/>
          <w:szCs w:val="28"/>
        </w:rPr>
        <w:t>收入决算表</w:t>
      </w:r>
    </w:p>
    <w:p>
      <w:pPr>
        <w:pStyle w:val="10"/>
        <w:numPr>
          <w:ilvl w:val="0"/>
          <w:numId w:val="2"/>
        </w:numPr>
        <w:ind w:firstLineChars="0"/>
        <w:jc w:val="left"/>
        <w:rPr>
          <w:sz w:val="28"/>
          <w:szCs w:val="28"/>
        </w:rPr>
      </w:pPr>
      <w:r>
        <w:rPr>
          <w:rFonts w:hint="eastAsia"/>
          <w:sz w:val="28"/>
          <w:szCs w:val="28"/>
        </w:rPr>
        <w:t>支出决算表</w:t>
      </w:r>
    </w:p>
    <w:p>
      <w:pPr>
        <w:pStyle w:val="10"/>
        <w:numPr>
          <w:ilvl w:val="0"/>
          <w:numId w:val="2"/>
        </w:numPr>
        <w:ind w:firstLineChars="0"/>
        <w:jc w:val="left"/>
        <w:rPr>
          <w:sz w:val="28"/>
          <w:szCs w:val="28"/>
        </w:rPr>
      </w:pPr>
      <w:r>
        <w:rPr>
          <w:rFonts w:hint="eastAsia"/>
          <w:sz w:val="28"/>
          <w:szCs w:val="28"/>
        </w:rPr>
        <w:t>财政拨款收入支出决算表</w:t>
      </w:r>
    </w:p>
    <w:p>
      <w:pPr>
        <w:pStyle w:val="10"/>
        <w:numPr>
          <w:ilvl w:val="0"/>
          <w:numId w:val="2"/>
        </w:numPr>
        <w:ind w:firstLineChars="0"/>
        <w:jc w:val="left"/>
        <w:rPr>
          <w:sz w:val="28"/>
          <w:szCs w:val="28"/>
        </w:rPr>
      </w:pPr>
      <w:r>
        <w:rPr>
          <w:rFonts w:hint="eastAsia"/>
          <w:sz w:val="28"/>
          <w:szCs w:val="28"/>
        </w:rPr>
        <w:t>一般公共预算财政拨款支出决算表</w:t>
      </w:r>
    </w:p>
    <w:p>
      <w:pPr>
        <w:pStyle w:val="10"/>
        <w:numPr>
          <w:ilvl w:val="0"/>
          <w:numId w:val="2"/>
        </w:numPr>
        <w:ind w:firstLineChars="0"/>
        <w:jc w:val="left"/>
        <w:rPr>
          <w:sz w:val="28"/>
          <w:szCs w:val="28"/>
        </w:rPr>
      </w:pPr>
      <w:r>
        <w:rPr>
          <w:rFonts w:hint="eastAsia"/>
          <w:sz w:val="28"/>
          <w:szCs w:val="28"/>
        </w:rPr>
        <w:t>一般公共预算财政拨款基本支出决算表</w:t>
      </w:r>
    </w:p>
    <w:p>
      <w:pPr>
        <w:pStyle w:val="10"/>
        <w:numPr>
          <w:ilvl w:val="0"/>
          <w:numId w:val="2"/>
        </w:numPr>
        <w:ind w:firstLineChars="0"/>
        <w:jc w:val="left"/>
        <w:rPr>
          <w:sz w:val="28"/>
          <w:szCs w:val="28"/>
        </w:rPr>
      </w:pPr>
      <w:r>
        <w:rPr>
          <w:rFonts w:hint="eastAsia"/>
          <w:sz w:val="28"/>
          <w:szCs w:val="28"/>
        </w:rPr>
        <w:t>一般公共预算财政拨款“三公”经费支出决算表</w:t>
      </w:r>
    </w:p>
    <w:p>
      <w:pPr>
        <w:pStyle w:val="10"/>
        <w:numPr>
          <w:ilvl w:val="0"/>
          <w:numId w:val="2"/>
        </w:numPr>
        <w:ind w:firstLineChars="0"/>
        <w:jc w:val="left"/>
        <w:rPr>
          <w:sz w:val="28"/>
          <w:szCs w:val="28"/>
        </w:rPr>
      </w:pPr>
      <w:r>
        <w:rPr>
          <w:rFonts w:hint="eastAsia"/>
          <w:sz w:val="28"/>
          <w:szCs w:val="28"/>
        </w:rPr>
        <w:t>政府性基金预算财政拨款收入支出决算表</w:t>
      </w:r>
    </w:p>
    <w:p>
      <w:pPr>
        <w:spacing w:beforeLines="200"/>
        <w:jc w:val="left"/>
        <w:rPr>
          <w:rFonts w:ascii="黑体" w:hAnsi="黑体" w:eastAsia="黑体"/>
          <w:b/>
          <w:sz w:val="32"/>
          <w:szCs w:val="32"/>
        </w:rPr>
      </w:pPr>
      <w:r>
        <w:rPr>
          <w:rFonts w:hint="eastAsia" w:ascii="黑体" w:hAnsi="黑体" w:eastAsia="黑体"/>
          <w:b/>
          <w:sz w:val="32"/>
          <w:szCs w:val="32"/>
        </w:rPr>
        <w:t>第三部分 2015年大埔县银江镇人民政府决算情况说明</w:t>
      </w:r>
    </w:p>
    <w:p>
      <w:pPr>
        <w:pStyle w:val="10"/>
        <w:numPr>
          <w:ilvl w:val="0"/>
          <w:numId w:val="3"/>
        </w:numPr>
        <w:ind w:firstLineChars="0"/>
        <w:jc w:val="left"/>
        <w:rPr>
          <w:sz w:val="28"/>
          <w:szCs w:val="28"/>
        </w:rPr>
      </w:pPr>
      <w:r>
        <w:rPr>
          <w:rFonts w:hint="eastAsia"/>
          <w:sz w:val="28"/>
          <w:szCs w:val="28"/>
        </w:rPr>
        <w:t>预算执行情况分析</w:t>
      </w:r>
    </w:p>
    <w:p>
      <w:pPr>
        <w:pStyle w:val="10"/>
        <w:numPr>
          <w:ilvl w:val="0"/>
          <w:numId w:val="3"/>
        </w:numPr>
        <w:ind w:firstLineChars="0"/>
        <w:jc w:val="left"/>
        <w:rPr>
          <w:sz w:val="28"/>
          <w:szCs w:val="28"/>
        </w:rPr>
      </w:pPr>
      <w:r>
        <w:rPr>
          <w:rFonts w:hint="eastAsia"/>
          <w:sz w:val="28"/>
          <w:szCs w:val="28"/>
        </w:rPr>
        <w:t>专业名词解释</w:t>
      </w:r>
    </w:p>
    <w:p>
      <w:pPr>
        <w:jc w:val="left"/>
        <w:rPr>
          <w:b/>
          <w:sz w:val="30"/>
          <w:szCs w:val="30"/>
        </w:rPr>
      </w:pPr>
    </w:p>
    <w:p>
      <w:pPr>
        <w:widowControl/>
        <w:jc w:val="left"/>
        <w:rPr>
          <w:b/>
          <w:sz w:val="30"/>
          <w:szCs w:val="30"/>
        </w:rPr>
      </w:pPr>
      <w:r>
        <w:rPr>
          <w:b/>
          <w:sz w:val="30"/>
          <w:szCs w:val="30"/>
        </w:rPr>
        <w:br w:type="page"/>
      </w:r>
    </w:p>
    <w:p>
      <w:pPr>
        <w:jc w:val="center"/>
        <w:rPr>
          <w:rFonts w:ascii="黑体" w:hAnsi="黑体" w:eastAsia="黑体"/>
          <w:b/>
          <w:sz w:val="36"/>
          <w:szCs w:val="36"/>
        </w:rPr>
      </w:pPr>
      <w:r>
        <w:rPr>
          <w:rFonts w:hint="eastAsia" w:ascii="黑体" w:hAnsi="黑体" w:eastAsia="黑体"/>
          <w:b/>
          <w:sz w:val="36"/>
          <w:szCs w:val="36"/>
        </w:rPr>
        <w:t>第一部分2015年大埔县银江镇人民政府基本情况</w:t>
      </w:r>
    </w:p>
    <w:p>
      <w:pPr>
        <w:spacing w:beforeLines="200"/>
        <w:jc w:val="left"/>
        <w:rPr>
          <w:b/>
          <w:sz w:val="30"/>
          <w:szCs w:val="30"/>
        </w:rPr>
      </w:pPr>
      <w:r>
        <w:rPr>
          <w:rFonts w:hint="eastAsia"/>
          <w:b/>
          <w:sz w:val="30"/>
          <w:szCs w:val="30"/>
        </w:rPr>
        <w:t>一、部门职责</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（一）</w:t>
      </w:r>
      <w:r>
        <w:rPr>
          <w:rFonts w:hint="eastAsia" w:asciiTheme="minorEastAsia" w:hAnsiTheme="minorEastAsia" w:eastAsiaTheme="minorEastAsia"/>
          <w:sz w:val="28"/>
          <w:szCs w:val="28"/>
          <w:shd w:val="clear" w:color="auto" w:fill="FFFFFF"/>
        </w:rPr>
        <w:t>贯彻执行党的路线、方针、政策和国家法律、法规。落实上级党委、政府的各项决议和决定。</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（二）</w:t>
      </w:r>
      <w:r>
        <w:rPr>
          <w:rFonts w:hint="eastAsia" w:cs="仿宋" w:asciiTheme="minorEastAsia" w:hAnsiTheme="minorEastAsia" w:eastAsiaTheme="minorEastAsia"/>
          <w:sz w:val="28"/>
          <w:szCs w:val="28"/>
        </w:rPr>
        <w:t>制定和组织实施本行政区域的经济、科技和社会发展计划，协调好本镇与外地区的经济交流与合作 ，抓好招商引资，人才引进项目开发，组织经济运行，促进经济发展。</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（三）</w:t>
      </w:r>
      <w:r>
        <w:rPr>
          <w:rFonts w:hint="eastAsia" w:asciiTheme="minorEastAsia" w:hAnsiTheme="minorEastAsia" w:eastAsiaTheme="minorEastAsia"/>
          <w:sz w:val="28"/>
          <w:szCs w:val="28"/>
          <w:shd w:val="clear" w:color="auto" w:fill="FFFFFF"/>
        </w:rPr>
        <w:t>以经济建设为中心，加强农村基层组织建设和基层基础系列化建设，转变机关作风，增强服务意识，提高办事效率，促进农村经济发展。</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（四）认真执行本级党代会和人民代表大会的决议，保证其在本行政区域内的贯彻执行和落实。</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（五）</w:t>
      </w:r>
      <w:r>
        <w:rPr>
          <w:rFonts w:hint="eastAsia" w:asciiTheme="minorEastAsia" w:hAnsiTheme="minorEastAsia" w:eastAsiaTheme="minorEastAsia"/>
          <w:sz w:val="28"/>
          <w:szCs w:val="28"/>
          <w:shd w:val="clear" w:color="auto" w:fill="FFFFFF"/>
        </w:rPr>
        <w:t>加强党的建设，做好党务工作；加强勤政、廉政建设；加强干部队伍的建设和管理，充分发挥基层党组织在“四化”建设中的核心领导作用。</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（六）</w:t>
      </w:r>
      <w:r>
        <w:rPr>
          <w:rFonts w:hint="eastAsia" w:asciiTheme="minorEastAsia" w:hAnsiTheme="minorEastAsia" w:eastAsiaTheme="minorEastAsia"/>
          <w:sz w:val="28"/>
          <w:szCs w:val="28"/>
          <w:shd w:val="clear" w:color="auto" w:fill="FFFFFF"/>
        </w:rPr>
        <w:t>管理本行政区域内的教育、科学、文化、卫生、体育事业和财政、民政、公安、司法、计划生育等各项行政工作。</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cstheme="minorBidi"/>
          <w:kern w:val="2"/>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（七）</w:t>
      </w:r>
      <w:r>
        <w:rPr>
          <w:rFonts w:asciiTheme="minorEastAsia" w:hAnsiTheme="minorEastAsia" w:eastAsiaTheme="minorEastAsia" w:cstheme="minorBidi"/>
          <w:kern w:val="2"/>
          <w:sz w:val="28"/>
          <w:szCs w:val="28"/>
          <w:shd w:val="clear" w:color="auto" w:fill="FFFFFF"/>
        </w:rPr>
        <w:t>按计划组织本级财政收入和地方税的征收，完成国家财政计划，不断培植税源，管好财政资金，增强财政实力。</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（八）</w:t>
      </w:r>
      <w:r>
        <w:rPr>
          <w:rFonts w:hint="eastAsia" w:asciiTheme="minorEastAsia" w:hAnsiTheme="minorEastAsia" w:eastAsiaTheme="minorEastAsia"/>
          <w:sz w:val="28"/>
          <w:szCs w:val="28"/>
          <w:shd w:val="clear" w:color="auto" w:fill="FFFFFF"/>
        </w:rPr>
        <w:t>制定本辖区精神文明和物质文明工作规划，抓好两个文明建设。</w:t>
      </w:r>
    </w:p>
    <w:p>
      <w:pPr>
        <w:pStyle w:val="12"/>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（九）</w:t>
      </w:r>
      <w:r>
        <w:rPr>
          <w:rFonts w:hint="eastAsia" w:asciiTheme="minorEastAsia" w:hAnsiTheme="minorEastAsia" w:eastAsiaTheme="minorEastAsia"/>
          <w:sz w:val="28"/>
          <w:szCs w:val="28"/>
          <w:shd w:val="clear" w:color="auto" w:fill="FFFFFF"/>
        </w:rPr>
        <w:t>协调行政区域内各村、各行业、各经济组织之间的关系；理顺政府部门之间，政府同企业、事业和社会中介组织之间的关系。</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 xml:space="preserve">（十）指导村（居）民委会工作，充分发挥群众组织的自我教育、自我管理、自我建设、自我服务的作用。 </w:t>
      </w:r>
    </w:p>
    <w:p>
      <w:pPr>
        <w:ind w:firstLine="560" w:firstLineChars="200"/>
        <w:jc w:val="left"/>
        <w:rPr>
          <w:rFonts w:asciiTheme="minorEastAsia" w:hAnsiTheme="minorEastAsia"/>
          <w:b/>
          <w:sz w:val="28"/>
          <w:szCs w:val="28"/>
        </w:rPr>
      </w:pPr>
      <w:r>
        <w:rPr>
          <w:rFonts w:hint="eastAsia" w:asciiTheme="minorEastAsia" w:hAnsiTheme="minorEastAsia"/>
          <w:sz w:val="28"/>
          <w:szCs w:val="28"/>
          <w:shd w:val="clear" w:color="auto" w:fill="FFFFFF"/>
        </w:rPr>
        <w:t>（十一</w:t>
      </w:r>
      <w:r>
        <w:rPr>
          <w:rFonts w:asciiTheme="minorEastAsia" w:hAnsiTheme="minorEastAsia"/>
          <w:sz w:val="28"/>
          <w:szCs w:val="28"/>
          <w:shd w:val="clear" w:color="auto" w:fill="FFFFFF"/>
        </w:rPr>
        <w:t>）</w:t>
      </w:r>
      <w:r>
        <w:rPr>
          <w:rFonts w:hint="eastAsia" w:asciiTheme="minorEastAsia" w:hAnsiTheme="minorEastAsia"/>
          <w:sz w:val="28"/>
          <w:szCs w:val="28"/>
          <w:shd w:val="clear" w:color="auto" w:fill="FFFFFF"/>
        </w:rPr>
        <w:t xml:space="preserve">承办县委、县政府交办的其它工作任务。 </w:t>
      </w:r>
    </w:p>
    <w:p>
      <w:pPr>
        <w:spacing w:beforeLines="100"/>
        <w:jc w:val="left"/>
        <w:rPr>
          <w:b/>
          <w:sz w:val="28"/>
          <w:szCs w:val="28"/>
        </w:rPr>
      </w:pPr>
      <w:r>
        <w:rPr>
          <w:rFonts w:hint="eastAsia"/>
          <w:b/>
          <w:sz w:val="28"/>
          <w:szCs w:val="28"/>
        </w:rPr>
        <w:t>二、机构设置</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2015年决算由1个预算单位构成：大埔县银江镇人民政府。</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2015年全年编制人数100人，其中：机关人员51人，其中：行政编制 45人，工勤人员6人；事业编制49人。</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2015年年末实有在职人员</w:t>
      </w:r>
      <w:r>
        <w:rPr>
          <w:rFonts w:hint="eastAsia" w:asciiTheme="minorEastAsia" w:hAnsiTheme="minorEastAsia"/>
          <w:sz w:val="28"/>
          <w:szCs w:val="28"/>
          <w:shd w:val="clear" w:color="auto" w:fill="FFFFFF"/>
          <w:lang w:val="en-US" w:eastAsia="zh-CN"/>
        </w:rPr>
        <w:t>59</w:t>
      </w:r>
      <w:r>
        <w:rPr>
          <w:rFonts w:hint="eastAsia" w:asciiTheme="minorEastAsia" w:hAnsiTheme="minorEastAsia"/>
          <w:sz w:val="28"/>
          <w:szCs w:val="28"/>
          <w:shd w:val="clear" w:color="auto" w:fill="FFFFFF"/>
        </w:rPr>
        <w:t>人，其中：实有在职行政人员36人，行政工勤人员1人，事业人员22人。退休人员 38人。</w:t>
      </w:r>
    </w:p>
    <w:p>
      <w:pPr>
        <w:spacing w:beforeLines="200"/>
        <w:rPr>
          <w:rFonts w:ascii="黑体" w:hAnsi="黑体" w:eastAsia="黑体"/>
          <w:b/>
          <w:sz w:val="36"/>
          <w:szCs w:val="36"/>
        </w:rPr>
      </w:pPr>
    </w:p>
    <w:p>
      <w:pPr>
        <w:spacing w:beforeLines="200"/>
        <w:rPr>
          <w:rFonts w:ascii="黑体" w:hAnsi="黑体" w:eastAsia="黑体"/>
          <w:b/>
          <w:sz w:val="36"/>
          <w:szCs w:val="36"/>
        </w:rPr>
      </w:pPr>
    </w:p>
    <w:p>
      <w:pPr>
        <w:spacing w:beforeLines="200"/>
        <w:rPr>
          <w:rFonts w:ascii="黑体" w:hAnsi="黑体" w:eastAsia="黑体"/>
          <w:b/>
          <w:sz w:val="36"/>
          <w:szCs w:val="36"/>
        </w:rPr>
      </w:pPr>
    </w:p>
    <w:p>
      <w:pPr>
        <w:spacing w:beforeLines="200"/>
        <w:rPr>
          <w:rFonts w:ascii="黑体" w:hAnsi="黑体" w:eastAsia="黑体"/>
          <w:b/>
          <w:sz w:val="36"/>
          <w:szCs w:val="36"/>
        </w:rPr>
      </w:pPr>
    </w:p>
    <w:p>
      <w:pPr>
        <w:spacing w:beforeLines="200"/>
        <w:rPr>
          <w:rFonts w:ascii="黑体" w:hAnsi="黑体" w:eastAsia="黑体"/>
          <w:b/>
          <w:sz w:val="36"/>
          <w:szCs w:val="36"/>
        </w:rPr>
      </w:pPr>
    </w:p>
    <w:p>
      <w:pPr>
        <w:spacing w:beforeLines="200"/>
        <w:jc w:val="center"/>
        <w:rPr>
          <w:rFonts w:ascii="黑体" w:hAnsi="黑体" w:eastAsia="黑体"/>
          <w:b/>
          <w:sz w:val="36"/>
          <w:szCs w:val="36"/>
        </w:rPr>
      </w:pPr>
      <w:r>
        <w:rPr>
          <w:rFonts w:hint="eastAsia" w:ascii="黑体" w:hAnsi="黑体" w:eastAsia="黑体"/>
          <w:b/>
          <w:sz w:val="36"/>
          <w:szCs w:val="36"/>
        </w:rPr>
        <w:t>第二部分2015年大埔县银江镇人民政府决算表</w:t>
      </w:r>
    </w:p>
    <w:p>
      <w:pPr>
        <w:spacing w:beforeLines="200"/>
        <w:jc w:val="center"/>
        <w:rPr>
          <w:rFonts w:asciiTheme="minorEastAsia" w:hAnsiTheme="minorEastAsia"/>
          <w:b/>
          <w:sz w:val="30"/>
          <w:szCs w:val="30"/>
        </w:rPr>
      </w:pPr>
      <w:r>
        <w:rPr>
          <w:rFonts w:hint="eastAsia" w:asciiTheme="minorEastAsia" w:hAnsiTheme="minorEastAsia"/>
          <w:b/>
          <w:sz w:val="30"/>
          <w:szCs w:val="30"/>
        </w:rPr>
        <w:t>一、收入支出决算总表</w:t>
      </w:r>
    </w:p>
    <w:p>
      <w:pPr>
        <w:jc w:val="center"/>
        <w:rPr>
          <w:sz w:val="28"/>
          <w:szCs w:val="28"/>
        </w:rPr>
      </w:pPr>
      <w:bookmarkStart w:id="0" w:name="RANGE!A1:F21"/>
      <w:bookmarkEnd w:id="0"/>
      <w:r>
        <w:rPr>
          <w:sz w:val="28"/>
          <w:szCs w:val="28"/>
        </w:rPr>
        <w:object>
          <v:shape id="_x0000_i1025" o:spt="75" type="#_x0000_t75" style="height:565.5pt;width:423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p>
    <w:p>
      <w:pPr>
        <w:jc w:val="center"/>
        <w:rPr>
          <w:rFonts w:asciiTheme="minorEastAsia" w:hAnsiTheme="minorEastAsia"/>
          <w:b/>
          <w:sz w:val="30"/>
          <w:szCs w:val="30"/>
        </w:rPr>
      </w:pPr>
      <w:r>
        <w:rPr>
          <w:rFonts w:hint="eastAsia" w:asciiTheme="minorEastAsia" w:hAnsiTheme="minorEastAsia"/>
          <w:b/>
          <w:sz w:val="30"/>
          <w:szCs w:val="30"/>
        </w:rPr>
        <w:t>二、收入决算表</w:t>
      </w:r>
      <w:r>
        <w:rPr>
          <w:rFonts w:asciiTheme="minorEastAsia" w:hAnsiTheme="minorEastAsia"/>
          <w:b/>
          <w:sz w:val="30"/>
          <w:szCs w:val="30"/>
        </w:rPr>
        <w:object>
          <v:shape id="_x0000_i1026" o:spt="75" type="#_x0000_t75" style="height:612pt;width:480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r>
        <w:rPr>
          <w:rFonts w:asciiTheme="minorEastAsia" w:hAnsiTheme="minorEastAsia"/>
          <w:b/>
          <w:sz w:val="30"/>
          <w:szCs w:val="30"/>
        </w:rPr>
        <w:object>
          <v:shape id="_x0000_i1027" o:spt="75" type="#_x0000_t75" style="height:249pt;width:480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三、支出决算表</w:t>
      </w:r>
      <w:r>
        <w:rPr>
          <w:rFonts w:asciiTheme="minorEastAsia" w:hAnsiTheme="minorEastAsia"/>
          <w:b/>
          <w:sz w:val="30"/>
          <w:szCs w:val="30"/>
        </w:rPr>
        <w:object>
          <v:shape id="_x0000_i1028" o:spt="75" type="#_x0000_t75" style="height:591.75pt;width:453.75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r>
        <w:rPr>
          <w:rFonts w:asciiTheme="minorEastAsia" w:hAnsiTheme="minorEastAsia"/>
          <w:b/>
          <w:sz w:val="30"/>
          <w:szCs w:val="30"/>
        </w:rPr>
        <w:object>
          <v:shape id="_x0000_i1029" o:spt="75" type="#_x0000_t75" style="height:242.25pt;width:453.75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四、财政拨款收入支出决算表</w:t>
      </w:r>
      <w:r>
        <w:rPr>
          <w:rFonts w:asciiTheme="minorEastAsia" w:hAnsiTheme="minorEastAsia"/>
          <w:b/>
          <w:sz w:val="30"/>
          <w:szCs w:val="30"/>
        </w:rPr>
        <w:object>
          <v:shape id="_x0000_i1030" o:spt="75" type="#_x0000_t75" style="height:460.5pt;width:474.75pt;" o:ole="t" filled="f" o:preferrelative="t" stroked="f" coordsize="21600,21600">
            <v:path/>
            <v:fill on="f" focussize="0,0"/>
            <v:stroke on="f" joinstyle="miter"/>
            <v:imagedata r:id="rId15" o:title=""/>
            <o:lock v:ext="edit" aspectratio="t"/>
            <w10:wrap type="none"/>
            <w10:anchorlock/>
          </v:shape>
          <o:OLEObject Type="Embed" ProgID="Excel.Sheet.8" ShapeID="_x0000_i1030" DrawAspect="Content" ObjectID="_1468075730" r:id="rId14">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五、一般公共预算财政拨款收入支出决算表</w:t>
      </w:r>
      <w:r>
        <w:rPr>
          <w:rFonts w:asciiTheme="minorEastAsia" w:hAnsiTheme="minorEastAsia"/>
          <w:b/>
          <w:sz w:val="30"/>
          <w:szCs w:val="30"/>
        </w:rPr>
        <w:object>
          <v:shape id="_x0000_i1031" o:spt="75" type="#_x0000_t75" style="height:586.5pt;width:405.75pt;" o:ole="t" filled="f" o:preferrelative="t" stroked="f" coordsize="21600,21600">
            <v:path/>
            <v:fill on="f" focussize="0,0"/>
            <v:stroke on="f" joinstyle="miter"/>
            <v:imagedata r:id="rId17" o:title=""/>
            <o:lock v:ext="edit" aspectratio="t"/>
            <w10:wrap type="none"/>
            <w10:anchorlock/>
          </v:shape>
          <o:OLEObject Type="Embed" ProgID="Excel.Sheet.8" ShapeID="_x0000_i1031" DrawAspect="Content" ObjectID="_1468075731" r:id="rId16">
            <o:LockedField>false</o:LockedField>
          </o:OLEObject>
        </w:object>
      </w:r>
      <w:r>
        <w:rPr>
          <w:rFonts w:asciiTheme="minorEastAsia" w:hAnsiTheme="minorEastAsia"/>
          <w:b/>
          <w:sz w:val="30"/>
          <w:szCs w:val="30"/>
        </w:rPr>
        <w:object>
          <v:shape id="_x0000_i1032" o:spt="75" type="#_x0000_t75" style="height:242.25pt;width:405.75pt;" o:ole="t" filled="f" o:preferrelative="t" stroked="f" coordsize="21600,21600">
            <v:path/>
            <v:fill on="f" focussize="0,0"/>
            <v:stroke on="f" joinstyle="miter"/>
            <v:imagedata r:id="rId19" o:title=""/>
            <o:lock v:ext="edit" aspectratio="t"/>
            <w10:wrap type="none"/>
            <w10:anchorlock/>
          </v:shape>
          <o:OLEObject Type="Embed" ProgID="Excel.Sheet.8" ShapeID="_x0000_i1032" DrawAspect="Content" ObjectID="_1468075732" r:id="rId18">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六、一般公共预算财政公款基本支出决算表</w:t>
      </w:r>
      <w:r>
        <w:rPr>
          <w:rFonts w:asciiTheme="minorEastAsia" w:hAnsiTheme="minorEastAsia"/>
          <w:b/>
          <w:sz w:val="30"/>
          <w:szCs w:val="30"/>
        </w:rPr>
        <w:object>
          <v:shape id="_x0000_i1033" o:spt="75" type="#_x0000_t75" style="height:543.75pt;width:382.5pt;" o:ole="t" filled="f" o:preferrelative="t" stroked="f" coordsize="21600,21600">
            <v:path/>
            <v:fill on="f" focussize="0,0"/>
            <v:stroke on="f" joinstyle="miter"/>
            <v:imagedata r:id="rId21" o:title=""/>
            <o:lock v:ext="edit" aspectratio="t"/>
            <w10:wrap type="none"/>
            <w10:anchorlock/>
          </v:shape>
          <o:OLEObject Type="Embed" ProgID="Excel.Sheet.8" ShapeID="_x0000_i1033" DrawAspect="Content" ObjectID="_1468075733" r:id="rId20">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七、一般公共预算财政拨款“三公”经费支出决算表</w:t>
      </w:r>
      <w:r>
        <w:rPr>
          <w:rFonts w:asciiTheme="minorEastAsia" w:hAnsiTheme="minorEastAsia"/>
          <w:b/>
          <w:sz w:val="30"/>
          <w:szCs w:val="30"/>
        </w:rPr>
        <w:object>
          <v:shape id="_x0000_i1034" o:spt="75" type="#_x0000_t75" style="height:173.25pt;width:449.25pt;" o:ole="t" filled="f" o:preferrelative="t" stroked="f" coordsize="21600,21600">
            <v:path/>
            <v:fill on="f" focussize="0,0"/>
            <v:stroke on="f" joinstyle="miter"/>
            <v:imagedata r:id="rId23" o:title=""/>
            <o:lock v:ext="edit" aspectratio="t"/>
            <w10:wrap type="none"/>
            <w10:anchorlock/>
          </v:shape>
          <o:OLEObject Type="Embed" ProgID="Excel.Sheet.8" ShapeID="_x0000_i1034" DrawAspect="Content" ObjectID="_1468075734" r:id="rId22">
            <o:LockedField>false</o:LockedField>
          </o:OLEObject>
        </w:object>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八、政府性基金预算财政拨款收入支出决算表</w:t>
      </w:r>
      <w:r>
        <w:rPr>
          <w:rFonts w:asciiTheme="minorEastAsia" w:hAnsiTheme="minorEastAsia"/>
          <w:b/>
          <w:sz w:val="30"/>
          <w:szCs w:val="30"/>
        </w:rPr>
        <w:object>
          <v:shape id="_x0000_i1035" o:spt="75" type="#_x0000_t75" style="height:244.5pt;width:468pt;" o:ole="t" filled="f" o:preferrelative="t" stroked="f" coordsize="21600,21600">
            <v:path/>
            <v:fill on="f" focussize="0,0"/>
            <v:stroke on="f" joinstyle="miter"/>
            <v:imagedata r:id="rId25" o:title=""/>
            <o:lock v:ext="edit" aspectratio="t"/>
            <w10:wrap type="none"/>
            <w10:anchorlock/>
          </v:shape>
          <o:OLEObject Type="Embed" ProgID="Excel.Sheet.8" ShapeID="_x0000_i1035" DrawAspect="Content" ObjectID="_1468075735" r:id="rId24">
            <o:LockedField>false</o:LockedField>
          </o:OLEObject>
        </w:object>
      </w:r>
    </w:p>
    <w:p>
      <w:pPr>
        <w:widowControl/>
        <w:jc w:val="center"/>
        <w:rPr>
          <w:rFonts w:ascii="黑体" w:hAnsi="黑体" w:eastAsia="黑体"/>
          <w:b/>
          <w:spacing w:val="-20"/>
          <w:sz w:val="36"/>
          <w:szCs w:val="36"/>
        </w:rPr>
      </w:pPr>
      <w:r>
        <w:rPr>
          <w:rFonts w:asciiTheme="minorEastAsia" w:hAnsiTheme="minorEastAsia"/>
          <w:b/>
          <w:sz w:val="30"/>
          <w:szCs w:val="30"/>
        </w:rPr>
        <w:br w:type="page"/>
      </w:r>
      <w:r>
        <w:rPr>
          <w:rFonts w:hint="eastAsia" w:ascii="黑体" w:hAnsi="黑体" w:eastAsia="黑体"/>
          <w:b/>
          <w:spacing w:val="-20"/>
          <w:sz w:val="36"/>
          <w:szCs w:val="36"/>
        </w:rPr>
        <w:t>第三部分 2015年大埔县银江镇人民政府决算情况说明</w:t>
      </w:r>
    </w:p>
    <w:p>
      <w:pPr>
        <w:pStyle w:val="15"/>
        <w:widowControl/>
        <w:numPr>
          <w:ilvl w:val="0"/>
          <w:numId w:val="4"/>
        </w:numPr>
        <w:spacing w:after="100" w:afterAutospacing="1" w:line="1267" w:lineRule="exact"/>
        <w:ind w:left="403" w:hanging="403"/>
        <w:jc w:val="both"/>
        <w:rPr>
          <w:rStyle w:val="23"/>
          <w:lang w:val="zh-CN"/>
        </w:rPr>
      </w:pPr>
      <w:r>
        <w:rPr>
          <w:rStyle w:val="23"/>
          <w:rFonts w:hint="eastAsia"/>
          <w:lang w:val="zh-CN"/>
        </w:rPr>
        <w:t>预算执行情况分析</w:t>
      </w:r>
    </w:p>
    <w:p>
      <w:pPr>
        <w:pStyle w:val="20"/>
        <w:widowControl/>
        <w:spacing w:line="624" w:lineRule="exact"/>
        <w:ind w:firstLine="624"/>
        <w:rPr>
          <w:rStyle w:val="13"/>
          <w:spacing w:val="30"/>
          <w:sz w:val="26"/>
          <w:szCs w:val="26"/>
          <w:lang w:val="zh-CN"/>
        </w:rPr>
      </w:pPr>
      <w:r>
        <w:rPr>
          <w:rStyle w:val="13"/>
          <w:rFonts w:hint="eastAsia" w:asciiTheme="minorEastAsia" w:hAnsiTheme="minorEastAsia" w:eastAsiaTheme="minorEastAsia"/>
          <w:b w:val="0"/>
          <w:lang w:val="zh-CN"/>
        </w:rPr>
        <w:t>2015年部门决算总收入1996.10万元，比上年增加976.64万元，增长95.80%，主要原因是增加龙山文化公园工程、小城镇基础设施建设、公路改建等项目。其中：财政拨款收入1893.86万元，占总收入的94.88%；其他收入102.24万元，占总收入的5.12%。</w:t>
      </w:r>
    </w:p>
    <w:p>
      <w:pPr>
        <w:pStyle w:val="5"/>
        <w:wordWrap w:val="0"/>
        <w:snapToGrid w:val="0"/>
        <w:spacing w:beforeAutospacing="0" w:afterAutospacing="0" w:line="600" w:lineRule="atLeast"/>
        <w:ind w:firstLine="600"/>
        <w:rPr>
          <w:rFonts w:ascii="Times New Roman" w:hAnsi="Times New Roman" w:eastAsia="宋体,微软雅黑" w:cs="Times New Roman"/>
          <w:color w:val="000000"/>
          <w:sz w:val="21"/>
          <w:szCs w:val="21"/>
        </w:rPr>
      </w:pPr>
      <w:r>
        <w:rPr>
          <w:rStyle w:val="13"/>
          <w:rFonts w:hint="eastAsia" w:asciiTheme="minorEastAsia" w:hAnsiTheme="minorEastAsia" w:eastAsiaTheme="minorEastAsia"/>
          <w:b w:val="0"/>
          <w:lang w:val="zh-CN"/>
        </w:rPr>
        <w:t>2015年部门决算总支出1996.10万元，比上年增长976.64万元，增长95.80%,其中：基本支出730.11万元，占总支出的36.58％，其中：工资福利支出</w:t>
      </w:r>
      <w:r>
        <w:rPr>
          <w:rStyle w:val="13"/>
          <w:rFonts w:hint="eastAsia" w:asciiTheme="minorEastAsia" w:hAnsiTheme="minorEastAsia" w:eastAsiaTheme="minorEastAsia"/>
          <w:b w:val="0"/>
        </w:rPr>
        <w:t>363.52</w:t>
      </w:r>
      <w:r>
        <w:rPr>
          <w:rStyle w:val="13"/>
          <w:rFonts w:hint="eastAsia" w:asciiTheme="minorEastAsia" w:hAnsiTheme="minorEastAsia" w:eastAsiaTheme="minorEastAsia"/>
          <w:b w:val="0"/>
          <w:lang w:val="zh-CN"/>
        </w:rPr>
        <w:t>万元，对个人和家庭的补助</w:t>
      </w:r>
      <w:r>
        <w:rPr>
          <w:rStyle w:val="13"/>
          <w:rFonts w:hint="eastAsia" w:asciiTheme="minorEastAsia" w:hAnsiTheme="minorEastAsia" w:eastAsiaTheme="minorEastAsia"/>
          <w:b w:val="0"/>
        </w:rPr>
        <w:t>143.44</w:t>
      </w:r>
      <w:r>
        <w:rPr>
          <w:rStyle w:val="13"/>
          <w:rFonts w:hint="eastAsia" w:asciiTheme="minorEastAsia" w:hAnsiTheme="minorEastAsia" w:eastAsiaTheme="minorEastAsia"/>
          <w:b w:val="0"/>
          <w:lang w:val="zh-CN"/>
        </w:rPr>
        <w:t>万元，商品和服务支出</w:t>
      </w:r>
      <w:r>
        <w:rPr>
          <w:rStyle w:val="13"/>
          <w:rFonts w:hint="eastAsia" w:asciiTheme="minorEastAsia" w:hAnsiTheme="minorEastAsia" w:eastAsiaTheme="minorEastAsia"/>
          <w:b w:val="0"/>
        </w:rPr>
        <w:t>114.61</w:t>
      </w:r>
      <w:r>
        <w:rPr>
          <w:rStyle w:val="13"/>
          <w:rFonts w:hint="eastAsia" w:asciiTheme="minorEastAsia" w:hAnsiTheme="minorEastAsia" w:eastAsiaTheme="minorEastAsia"/>
          <w:b w:val="0"/>
          <w:lang w:val="zh-CN"/>
        </w:rPr>
        <w:t>万元，其他资本性支出</w:t>
      </w:r>
      <w:r>
        <w:rPr>
          <w:rStyle w:val="13"/>
          <w:rFonts w:hint="eastAsia" w:asciiTheme="minorEastAsia" w:hAnsiTheme="minorEastAsia" w:eastAsiaTheme="minorEastAsia"/>
          <w:b w:val="0"/>
        </w:rPr>
        <w:t>6.30</w:t>
      </w:r>
      <w:r>
        <w:rPr>
          <w:rStyle w:val="13"/>
          <w:rFonts w:hint="eastAsia" w:asciiTheme="minorEastAsia" w:hAnsiTheme="minorEastAsia" w:eastAsiaTheme="minorEastAsia"/>
          <w:b w:val="0"/>
          <w:lang w:val="zh-CN"/>
        </w:rPr>
        <w:t>万元，主要是维持机构正常运转、开展财政管理活动所发生的财政事务支出；项目支出1265.99万元，占总支出的63.42％，其增长原因主要为: 增加龙山文化公园工程、小城镇基础设施建设、公路改建等项目。</w:t>
      </w:r>
    </w:p>
    <w:p>
      <w:pPr>
        <w:pStyle w:val="5"/>
        <w:wordWrap w:val="0"/>
        <w:snapToGrid w:val="0"/>
        <w:spacing w:beforeLines="150" w:beforeAutospacing="0" w:afterAutospacing="0" w:line="360" w:lineRule="auto"/>
        <w:rPr>
          <w:rFonts w:ascii="Times New Roman" w:hAnsi="Times New Roman" w:eastAsia="宋体,微软雅黑" w:cs="Times New Roman"/>
          <w:color w:val="000000"/>
          <w:sz w:val="21"/>
          <w:szCs w:val="21"/>
        </w:rPr>
      </w:pPr>
      <w:r>
        <w:rPr>
          <w:rFonts w:hint="eastAsia" w:ascii="仿宋_GB2312" w:hAnsi="Times New Roman" w:eastAsia="仿宋_GB2312" w:cs="Times New Roman"/>
          <w:b/>
          <w:bCs/>
          <w:color w:val="000000"/>
          <w:sz w:val="30"/>
          <w:szCs w:val="30"/>
        </w:rPr>
        <w:t>（一）“三公”经费决算情况说明</w:t>
      </w:r>
    </w:p>
    <w:p>
      <w:pPr>
        <w:pStyle w:val="5"/>
        <w:wordWrap w:val="0"/>
        <w:snapToGrid w:val="0"/>
        <w:spacing w:beforeAutospacing="0" w:afterAutospacing="0" w:line="360" w:lineRule="auto"/>
        <w:ind w:firstLine="600"/>
        <w:rPr>
          <w:rStyle w:val="13"/>
          <w:rFonts w:asciiTheme="minorEastAsia" w:hAnsiTheme="minorEastAsia" w:eastAsiaTheme="minorEastAsia"/>
          <w:b w:val="0"/>
          <w:lang w:val="zh-CN"/>
        </w:rPr>
      </w:pPr>
      <w:r>
        <w:rPr>
          <w:rStyle w:val="13"/>
          <w:rFonts w:hint="eastAsia" w:asciiTheme="minorEastAsia" w:hAnsiTheme="minorEastAsia" w:eastAsiaTheme="minorEastAsia"/>
          <w:lang w:val="zh-CN"/>
        </w:rPr>
        <w:t>2</w:t>
      </w:r>
      <w:r>
        <w:rPr>
          <w:rStyle w:val="13"/>
          <w:rFonts w:hint="eastAsia" w:asciiTheme="minorEastAsia" w:hAnsiTheme="minorEastAsia" w:eastAsiaTheme="minorEastAsia"/>
          <w:b w:val="0"/>
          <w:lang w:val="zh-CN"/>
        </w:rPr>
        <w:t>015年财政拨款“三公”经费决算总额27.90万元，其中，因公出国（境）费支出0万元，公务用车购置及运行维护费支出3万元，公务接待费支出24.90万元。</w:t>
      </w:r>
    </w:p>
    <w:p>
      <w:pPr>
        <w:pStyle w:val="5"/>
        <w:wordWrap w:val="0"/>
        <w:snapToGrid w:val="0"/>
        <w:spacing w:beforeAutospacing="0" w:afterAutospacing="0" w:line="360" w:lineRule="auto"/>
        <w:ind w:firstLine="6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2015年“三公”经费决算数比2014年决算数减少1.7万元，减少的主要原因是：认真贯彻落实中央“八项规定”和厉行节约要求，进一步从严控制“三公经费”开支。具体情况如下：</w:t>
      </w:r>
    </w:p>
    <w:p>
      <w:pPr>
        <w:pStyle w:val="5"/>
        <w:snapToGrid w:val="0"/>
        <w:spacing w:beforeAutospacing="0" w:afterAutospacing="0" w:line="360" w:lineRule="auto"/>
        <w:ind w:firstLine="640" w:firstLineChars="2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1、因公出国（境）费：2015年无因公出国（境）费。</w:t>
      </w:r>
    </w:p>
    <w:p>
      <w:pPr>
        <w:pStyle w:val="5"/>
        <w:snapToGrid w:val="0"/>
        <w:spacing w:beforeAutospacing="0" w:afterAutospacing="0" w:line="360" w:lineRule="auto"/>
        <w:ind w:firstLine="640" w:firstLineChars="200"/>
        <w:rPr>
          <w:rStyle w:val="13"/>
          <w:rFonts w:asciiTheme="minorEastAsia" w:eastAsiaTheme="minorEastAsia"/>
          <w:b w:val="0"/>
          <w:bCs w:val="0"/>
          <w:lang w:val="zh-CN"/>
        </w:rPr>
      </w:pPr>
      <w:r>
        <w:rPr>
          <w:rStyle w:val="13"/>
          <w:rFonts w:hint="eastAsia" w:asciiTheme="minorEastAsia" w:hAnsiTheme="minorEastAsia" w:eastAsiaTheme="minorEastAsia"/>
          <w:b w:val="0"/>
          <w:lang w:val="zh-CN"/>
        </w:rPr>
        <w:t>2、公务用车购置及运行维护费：2015年银江镇年末公务用车保有量2辆，公务用车购置及运行维护费3万元。其中：购置费0万元，运行维护费3万元，主要用于保障日常公务工作产生的公务用车燃料费、维修费、过路过桥费、保险费等支出。</w:t>
      </w:r>
    </w:p>
    <w:p>
      <w:pPr>
        <w:pStyle w:val="5"/>
        <w:spacing w:before="0" w:beforeAutospacing="0" w:after="0" w:afterAutospacing="0"/>
        <w:ind w:firstLine="640" w:firstLineChars="2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3、公务接待费：2015年公务接待费开支24.9万元，比2014年决算减少1.7万元，降低6.39%，主要用于接待上级部门检查工作产生的费用。其中国内公务接待批次294次，总计4174人次。</w:t>
      </w:r>
    </w:p>
    <w:p>
      <w:pPr>
        <w:pStyle w:val="5"/>
        <w:snapToGrid w:val="0"/>
        <w:spacing w:beforeLines="150" w:beforeAutospacing="0" w:afterAutospacing="0" w:line="360" w:lineRule="auto"/>
        <w:rPr>
          <w:rFonts w:ascii="Times New Roman" w:hAnsi="Times New Roman" w:eastAsia="宋体,微软雅黑" w:cs="Times New Roman"/>
          <w:color w:val="000000"/>
          <w:sz w:val="21"/>
          <w:szCs w:val="21"/>
        </w:rPr>
      </w:pPr>
      <w:r>
        <w:rPr>
          <w:rFonts w:hint="eastAsia" w:ascii="仿宋_GB2312" w:hAnsi="Times New Roman" w:eastAsia="仿宋_GB2312" w:cs="Times New Roman"/>
          <w:b/>
          <w:bCs/>
          <w:color w:val="000000"/>
          <w:sz w:val="30"/>
          <w:szCs w:val="30"/>
        </w:rPr>
        <w:t>（二）机关运行经费支出情况</w:t>
      </w:r>
    </w:p>
    <w:p>
      <w:pPr>
        <w:pStyle w:val="5"/>
        <w:wordWrap w:val="0"/>
        <w:snapToGrid w:val="0"/>
        <w:spacing w:beforeAutospacing="0" w:afterAutospacing="0" w:line="360" w:lineRule="auto"/>
        <w:ind w:firstLine="6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2015年机关运行经费支出289.22万元，比去年增长4.29万元，增长1.51%。部门机关运行经费主要用于办公费、印刷费、水电费、办公设备购置等日常公用经费等支出。</w:t>
      </w:r>
    </w:p>
    <w:p>
      <w:pPr>
        <w:pStyle w:val="5"/>
        <w:snapToGrid w:val="0"/>
        <w:spacing w:beforeLines="150" w:beforeAutospacing="0" w:afterAutospacing="0" w:line="360" w:lineRule="auto"/>
        <w:rPr>
          <w:rFonts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rPr>
        <w:t>（三）政府采购支出情况</w:t>
      </w:r>
    </w:p>
    <w:p>
      <w:pPr>
        <w:pStyle w:val="5"/>
        <w:wordWrap w:val="0"/>
        <w:snapToGrid w:val="0"/>
        <w:spacing w:beforeAutospacing="0" w:afterAutospacing="0" w:line="360" w:lineRule="auto"/>
        <w:ind w:firstLine="600"/>
        <w:rPr>
          <w:rStyle w:val="13"/>
          <w:rFonts w:asciiTheme="minorEastAsia" w:hAnsiTheme="minorEastAsia" w:eastAsiaTheme="minorEastAsia"/>
          <w:b w:val="0"/>
          <w:bCs w:val="0"/>
          <w:lang w:val="zh-CN"/>
        </w:rPr>
      </w:pPr>
      <w:r>
        <w:rPr>
          <w:rStyle w:val="13"/>
          <w:rFonts w:hint="eastAsia" w:asciiTheme="minorEastAsia" w:hAnsiTheme="minorEastAsia" w:eastAsiaTheme="minorEastAsia"/>
          <w:b w:val="0"/>
          <w:bCs w:val="0"/>
          <w:lang w:val="zh-CN"/>
        </w:rPr>
        <w:t>2015年实行政府采购支出总额0.98万元，其中：政府采购货物支出0.98万元，无政府采购服务支出。</w:t>
      </w:r>
    </w:p>
    <w:p>
      <w:pPr>
        <w:pStyle w:val="5"/>
        <w:snapToGrid w:val="0"/>
        <w:spacing w:beforeLines="150" w:beforeAutospacing="0" w:afterAutospacing="0" w:line="360" w:lineRule="auto"/>
        <w:rPr>
          <w:rFonts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rPr>
        <w:t>（四）国有资产占用情况说明</w:t>
      </w:r>
    </w:p>
    <w:p>
      <w:pPr>
        <w:pStyle w:val="5"/>
        <w:wordWrap w:val="0"/>
        <w:snapToGrid w:val="0"/>
        <w:spacing w:beforeAutospacing="0" w:afterAutospacing="0" w:line="360" w:lineRule="auto"/>
        <w:ind w:firstLine="6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截至2015年12月31日，本部门共有车辆2辆，均为一般公务用车。无单位价值50万元以上的设备。</w:t>
      </w:r>
    </w:p>
    <w:p>
      <w:pPr>
        <w:pStyle w:val="27"/>
        <w:widowControl/>
        <w:spacing w:before="480"/>
        <w:ind w:left="663" w:right="4167" w:hanging="663"/>
        <w:jc w:val="both"/>
        <w:rPr>
          <w:rStyle w:val="13"/>
          <w:sz w:val="30"/>
          <w:szCs w:val="30"/>
          <w:lang w:val="zh-CN"/>
        </w:rPr>
      </w:pPr>
      <w:r>
        <w:rPr>
          <w:rStyle w:val="23"/>
          <w:rFonts w:hint="eastAsia"/>
          <w:lang w:val="zh-CN"/>
        </w:rPr>
        <w:t>二、</w:t>
      </w:r>
      <w:r>
        <w:rPr>
          <w:rStyle w:val="13"/>
          <w:rFonts w:hint="eastAsia"/>
          <w:sz w:val="30"/>
          <w:szCs w:val="30"/>
          <w:lang w:val="zh-CN"/>
        </w:rPr>
        <w:t>专业名词解释</w:t>
      </w:r>
    </w:p>
    <w:p>
      <w:pPr>
        <w:pStyle w:val="19"/>
        <w:widowControl/>
        <w:spacing w:before="58" w:line="619" w:lineRule="exact"/>
        <w:ind w:left="653" w:firstLine="0"/>
        <w:jc w:val="left"/>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财政拨款收入：指省财政当年拨付的资金。</w:t>
      </w:r>
    </w:p>
    <w:p>
      <w:pPr>
        <w:pStyle w:val="19"/>
        <w:widowControl/>
        <w:spacing w:before="58" w:line="619" w:lineRule="exact"/>
        <w:ind w:firstLine="640" w:firstLineChars="2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事业收入：指事业单位开展专业业务活动及辅助活动所取得的收入。主要是省财政职业技术学校的教育收费收入返拨。</w:t>
      </w:r>
    </w:p>
    <w:p>
      <w:pPr>
        <w:pStyle w:val="19"/>
        <w:widowControl/>
        <w:spacing w:line="614" w:lineRule="exact"/>
        <w:ind w:left="53" w:right="58" w:firstLine="605"/>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其他收入：指除上述“财政拨款收入”、“事业收入”等以外的收入。主要是银行存款利息收入等。</w:t>
      </w:r>
    </w:p>
    <w:p>
      <w:pPr>
        <w:pStyle w:val="19"/>
        <w:widowControl/>
        <w:spacing w:line="614" w:lineRule="exact"/>
        <w:ind w:left="53" w:right="58" w:firstLine="605"/>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用事业基金弥补收支差额：指事业单位在当年的“财政拨款收入”、“事业收入”、“经营收入”、“其他收入”不足以安排当年支出的情况下，使用以前年度积累的事业基金</w:t>
      </w:r>
      <w:r>
        <w:rPr>
          <w:rStyle w:val="13"/>
          <w:rFonts w:hint="eastAsia" w:asciiTheme="minorEastAsia" w:hAnsiTheme="minorEastAsia" w:eastAsiaTheme="minorEastAsia"/>
          <w:b w:val="0"/>
          <w:spacing w:val="70"/>
          <w:lang w:val="zh-CN"/>
        </w:rPr>
        <w:t>（事</w:t>
      </w:r>
      <w:r>
        <w:rPr>
          <w:rStyle w:val="13"/>
          <w:rFonts w:hint="eastAsia" w:asciiTheme="minorEastAsia" w:hAnsiTheme="minorEastAsia" w:eastAsiaTheme="minorEastAsia"/>
          <w:b w:val="0"/>
          <w:lang w:val="zh-CN"/>
        </w:rPr>
        <w:t>业单位当年收支相抵后按国家规定提取、用于弥补以后年度收支差额的基金）弥补本年度收支缺口的资金。</w:t>
      </w:r>
    </w:p>
    <w:p>
      <w:pPr>
        <w:pStyle w:val="19"/>
        <w:widowControl/>
        <w:spacing w:line="614" w:lineRule="exact"/>
        <w:ind w:left="53" w:right="58" w:firstLine="605"/>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年初结转和结余：指以前年度尚未完成、结转到本年按有关规定继续使用的资金。</w:t>
      </w:r>
    </w:p>
    <w:p>
      <w:pPr>
        <w:pStyle w:val="19"/>
        <w:widowControl/>
        <w:spacing w:line="614" w:lineRule="exact"/>
        <w:ind w:left="53" w:right="58" w:firstLine="605"/>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类〉财政事务〔款〕行政运行〔项》指财政厅行政单位及参照公务员法管理的事业单位〔包括财政厅本部、国库支付局、省票据中心、省农业综合开发评估中心、省直行政事业单位物业管理中心、省投资审核中心）用于保障机构正常运行、开展日常工作的支出。</w:t>
      </w:r>
    </w:p>
    <w:p>
      <w:pPr>
        <w:pStyle w:val="19"/>
        <w:widowControl/>
        <w:spacing w:line="614" w:lineRule="exact"/>
        <w:ind w:left="53" w:right="58" w:firstLine="605"/>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财政事务（款）一般行政管理事务</w:t>
      </w:r>
      <w:r>
        <w:rPr>
          <w:rStyle w:val="13"/>
          <w:rFonts w:hint="eastAsia" w:asciiTheme="minorEastAsia" w:hAnsiTheme="minorEastAsia" w:eastAsiaTheme="minorEastAsia"/>
          <w:b w:val="0"/>
          <w:spacing w:val="90"/>
          <w:lang w:val="zh-CN"/>
        </w:rPr>
        <w:t>(项</w:t>
      </w:r>
      <w:r>
        <w:rPr>
          <w:rStyle w:val="13"/>
          <w:rFonts w:hint="eastAsia" w:asciiTheme="minorEastAsia" w:hAnsiTheme="minorEastAsia" w:eastAsiaTheme="minorEastAsia"/>
          <w:b w:val="0"/>
          <w:lang w:val="zh-CN"/>
        </w:rPr>
        <w:t>)指财政厅行政单位及参照公务员法管理的事业单位开展财政立法、决算编审、资产产权管理等未单独设置项级科目的专门性财政管理工作的项目支出。</w:t>
      </w:r>
    </w:p>
    <w:p>
      <w:pPr>
        <w:pStyle w:val="19"/>
        <w:widowControl/>
        <w:spacing w:line="614" w:lineRule="exact"/>
        <w:ind w:left="10" w:right="96" w:firstLine="662"/>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一般公共服务（类）财政事务（款）财政国库业务（项）指财政厅用于财政国库集中收付业务方面的项目支出。</w:t>
      </w:r>
    </w:p>
    <w:p>
      <w:pPr>
        <w:pStyle w:val="19"/>
        <w:widowControl/>
        <w:spacing w:before="14"/>
        <w:ind w:left="10" w:right="91" w:firstLine="662"/>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一般公共服务（类）财政事务（款）信息化建设（项</w:t>
      </w:r>
      <w:r>
        <w:rPr>
          <w:rStyle w:val="22"/>
          <w:rFonts w:hint="eastAsia" w:asciiTheme="minorEastAsia" w:hAnsiTheme="minorEastAsia" w:eastAsiaTheme="minorEastAsia"/>
          <w:b w:val="0"/>
          <w:sz w:val="28"/>
          <w:szCs w:val="28"/>
          <w:lang w:val="zh-CN"/>
        </w:rPr>
        <w:t>）：</w:t>
      </w:r>
      <w:r>
        <w:rPr>
          <w:rStyle w:val="13"/>
          <w:rFonts w:hint="eastAsia" w:asciiTheme="minorEastAsia" w:hAnsiTheme="minorEastAsia" w:eastAsiaTheme="minorEastAsia"/>
          <w:b w:val="0"/>
          <w:lang w:val="zh-CN"/>
        </w:rPr>
        <w:t>指财政厅用于"金财工程"等信息化建设方面的项目支出。</w:t>
      </w:r>
    </w:p>
    <w:p>
      <w:pPr>
        <w:pStyle w:val="20"/>
        <w:widowControl/>
        <w:spacing w:line="624" w:lineRule="exact"/>
        <w:ind w:left="14" w:firstLine="662"/>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一般公共服务（类）财政事务（款）事业运行〔项</w:t>
      </w:r>
      <w:r>
        <w:rPr>
          <w:rStyle w:val="13"/>
          <w:rFonts w:hint="eastAsia" w:asciiTheme="minorEastAsia" w:hAnsiTheme="minorEastAsia" w:eastAsiaTheme="minorEastAsia"/>
          <w:b w:val="0"/>
          <w:spacing w:val="-30"/>
          <w:lang w:val="zh-CN"/>
        </w:rPr>
        <w:t>〕：</w:t>
      </w:r>
      <w:r>
        <w:rPr>
          <w:rStyle w:val="13"/>
          <w:rFonts w:hint="eastAsia" w:asciiTheme="minorEastAsia" w:hAnsiTheme="minorEastAsia" w:eastAsiaTheme="minorEastAsia"/>
          <w:b w:val="0"/>
          <w:lang w:val="zh-CN"/>
        </w:rPr>
        <w:t>指省财政科学研究所、省数据信息中心、省注册会计师协会、省财政职业技术学校、省会计函授学校用于保障机构正常运行、开展日常工作的基本支出。</w:t>
      </w:r>
    </w:p>
    <w:p>
      <w:pPr>
        <w:pStyle w:val="19"/>
        <w:widowControl/>
        <w:ind w:left="58" w:right="24" w:firstLine="51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财政事务（款）其他财政事务支出</w:t>
      </w:r>
      <w:r>
        <w:rPr>
          <w:rStyle w:val="13"/>
          <w:rFonts w:hint="eastAsia" w:asciiTheme="minorEastAsia" w:hAnsiTheme="minorEastAsia" w:eastAsiaTheme="minorEastAsia"/>
          <w:b w:val="0"/>
          <w:spacing w:val="90"/>
          <w:lang w:val="zh-CN"/>
        </w:rPr>
        <w:t>(项</w:t>
      </w:r>
      <w:r>
        <w:rPr>
          <w:rStyle w:val="13"/>
          <w:rFonts w:hint="eastAsia" w:asciiTheme="minorEastAsia" w:hAnsiTheme="minorEastAsia" w:eastAsiaTheme="minorEastAsia"/>
          <w:b w:val="0"/>
          <w:spacing w:val="-30"/>
          <w:lang w:val="zh-CN"/>
        </w:rPr>
        <w:t>〕：</w:t>
      </w:r>
      <w:r>
        <w:rPr>
          <w:rStyle w:val="13"/>
          <w:rFonts w:hint="eastAsia" w:asciiTheme="minorEastAsia" w:hAnsiTheme="minorEastAsia" w:eastAsiaTheme="minorEastAsia"/>
          <w:b w:val="0"/>
          <w:lang w:val="zh-CN"/>
        </w:rPr>
        <w:t>指财政厅除上述项目外，开展其他财政事务方面专门性工作任务的项目支出。</w:t>
      </w:r>
    </w:p>
    <w:p>
      <w:pPr>
        <w:pStyle w:val="19"/>
        <w:widowControl/>
        <w:ind w:left="173" w:right="48" w:firstLine="51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一般公共服务</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组织事务（款）其他组织事务支出</w:t>
      </w:r>
      <w:r>
        <w:rPr>
          <w:rStyle w:val="13"/>
          <w:rFonts w:hint="eastAsia" w:asciiTheme="minorEastAsia" w:hAnsiTheme="minorEastAsia" w:eastAsiaTheme="minorEastAsia"/>
          <w:b w:val="0"/>
          <w:spacing w:val="90"/>
          <w:lang w:val="zh-CN"/>
        </w:rPr>
        <w:t>(项</w:t>
      </w:r>
      <w:r>
        <w:rPr>
          <w:rStyle w:val="22"/>
          <w:rFonts w:hint="eastAsia" w:asciiTheme="minorEastAsia" w:hAnsiTheme="minorEastAsia" w:eastAsiaTheme="minorEastAsia"/>
          <w:b w:val="0"/>
          <w:sz w:val="28"/>
          <w:szCs w:val="28"/>
          <w:lang w:val="zh-CN"/>
        </w:rPr>
        <w:t>义</w:t>
      </w:r>
      <w:r>
        <w:rPr>
          <w:rStyle w:val="13"/>
          <w:rFonts w:hint="eastAsia" w:asciiTheme="minorEastAsia" w:hAnsiTheme="minorEastAsia" w:eastAsiaTheme="minorEastAsia"/>
          <w:b w:val="0"/>
          <w:lang w:val="zh-CN"/>
        </w:rPr>
        <w:t>指用于中国共产党组织部门的其他事务支出。</w:t>
      </w:r>
    </w:p>
    <w:p>
      <w:pPr>
        <w:pStyle w:val="19"/>
        <w:widowControl/>
        <w:ind w:left="43" w:firstLine="629"/>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教育</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职业教育</w:t>
      </w:r>
      <w:r>
        <w:rPr>
          <w:rStyle w:val="13"/>
          <w:rFonts w:hint="eastAsia" w:asciiTheme="minorEastAsia" w:hAnsiTheme="minorEastAsia" w:eastAsiaTheme="minorEastAsia"/>
          <w:b w:val="0"/>
          <w:spacing w:val="70"/>
          <w:lang w:val="zh-CN"/>
        </w:rPr>
        <w:t>（款）</w:t>
      </w:r>
      <w:r>
        <w:rPr>
          <w:rStyle w:val="13"/>
          <w:rFonts w:hint="eastAsia" w:asciiTheme="minorEastAsia" w:hAnsiTheme="minorEastAsia" w:eastAsiaTheme="minorEastAsia"/>
          <w:b w:val="0"/>
          <w:lang w:val="zh-CN"/>
        </w:rPr>
        <w:t>中专教育</w:t>
      </w:r>
      <w:r>
        <w:rPr>
          <w:rStyle w:val="13"/>
          <w:rFonts w:hint="eastAsia" w:asciiTheme="minorEastAsia" w:hAnsiTheme="minorEastAsia" w:eastAsiaTheme="minorEastAsia"/>
          <w:b w:val="0"/>
          <w:spacing w:val="70"/>
          <w:lang w:val="zh-CN"/>
        </w:rPr>
        <w:t>（项</w:t>
      </w:r>
      <w:r>
        <w:rPr>
          <w:rStyle w:val="13"/>
          <w:rFonts w:hint="eastAsia" w:asciiTheme="minorEastAsia" w:hAnsiTheme="minorEastAsia" w:eastAsiaTheme="minorEastAsia"/>
          <w:b w:val="0"/>
          <w:lang w:val="zh-CN"/>
        </w:rPr>
        <w:t>）：指省财政职业技术学校的教育支出。</w:t>
      </w:r>
    </w:p>
    <w:p>
      <w:pPr>
        <w:pStyle w:val="20"/>
        <w:widowControl/>
        <w:spacing w:line="624" w:lineRule="exact"/>
        <w:ind w:left="38" w:firstLine="63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教育</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职业教育</w:t>
      </w:r>
      <w:r>
        <w:rPr>
          <w:rStyle w:val="13"/>
          <w:rFonts w:hint="eastAsia" w:asciiTheme="minorEastAsia" w:hAnsiTheme="minorEastAsia" w:eastAsiaTheme="minorEastAsia"/>
          <w:b w:val="0"/>
          <w:spacing w:val="70"/>
          <w:lang w:val="zh-CN"/>
        </w:rPr>
        <w:t>（款）</w:t>
      </w:r>
      <w:r>
        <w:rPr>
          <w:rStyle w:val="13"/>
          <w:rFonts w:hint="eastAsia" w:asciiTheme="minorEastAsia" w:hAnsiTheme="minorEastAsia" w:eastAsiaTheme="minorEastAsia"/>
          <w:b w:val="0"/>
          <w:lang w:val="zh-CN"/>
        </w:rPr>
        <w:t>其他职业教育支出</w:t>
      </w:r>
      <w:r>
        <w:rPr>
          <w:rStyle w:val="13"/>
          <w:rFonts w:hint="eastAsia" w:asciiTheme="minorEastAsia" w:hAnsiTheme="minorEastAsia" w:eastAsiaTheme="minorEastAsia"/>
          <w:b w:val="0"/>
          <w:spacing w:val="70"/>
          <w:lang w:val="zh-CN"/>
        </w:rPr>
        <w:t>（项）：</w:t>
      </w:r>
      <w:r>
        <w:rPr>
          <w:rStyle w:val="13"/>
          <w:rFonts w:hint="eastAsia" w:asciiTheme="minorEastAsia" w:hAnsiTheme="minorEastAsia" w:eastAsiaTheme="minorEastAsia"/>
          <w:b w:val="0"/>
          <w:lang w:val="zh-CN"/>
        </w:rPr>
        <w:t>指省财政职业技术学校和省会计函授学校用于职业教育方面的其他支出。</w:t>
      </w:r>
    </w:p>
    <w:p>
      <w:pPr>
        <w:pStyle w:val="19"/>
        <w:widowControl/>
        <w:ind w:left="23" w:right="57" w:firstLine="640" w:firstLineChars="200"/>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社会保障和就业</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行政事业单位离退休（款）归口管理的行政单位离退休</w:t>
      </w:r>
      <w:r>
        <w:rPr>
          <w:rStyle w:val="13"/>
          <w:rFonts w:hint="eastAsia" w:asciiTheme="minorEastAsia" w:hAnsiTheme="minorEastAsia" w:eastAsiaTheme="minorEastAsia"/>
          <w:b w:val="0"/>
          <w:spacing w:val="70"/>
          <w:lang w:val="zh-CN"/>
        </w:rPr>
        <w:t>（项</w:t>
      </w:r>
      <w:r>
        <w:rPr>
          <w:rStyle w:val="13"/>
          <w:rFonts w:hint="eastAsia" w:asciiTheme="minorEastAsia" w:hAnsiTheme="minorEastAsia" w:eastAsiaTheme="minorEastAsia"/>
          <w:b w:val="0"/>
          <w:lang w:val="zh-CN"/>
        </w:rPr>
        <w:t>）：指财政厅行政单位离退休人员的支出。</w:t>
      </w:r>
    </w:p>
    <w:p>
      <w:pPr>
        <w:pStyle w:val="19"/>
        <w:widowControl/>
        <w:ind w:left="14" w:right="58" w:firstLine="63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社会保障和就业</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行政事业单位离退休（款）事业单位离退休人员</w:t>
      </w:r>
      <w:r>
        <w:rPr>
          <w:rStyle w:val="13"/>
          <w:rFonts w:hint="eastAsia" w:asciiTheme="minorEastAsia" w:hAnsiTheme="minorEastAsia" w:eastAsiaTheme="minorEastAsia"/>
          <w:b w:val="0"/>
          <w:spacing w:val="70"/>
          <w:lang w:val="zh-CN"/>
        </w:rPr>
        <w:t>（项</w:t>
      </w:r>
      <w:r>
        <w:rPr>
          <w:rStyle w:val="13"/>
          <w:rFonts w:hint="eastAsia" w:asciiTheme="minorEastAsia" w:hAnsiTheme="minorEastAsia" w:eastAsiaTheme="minorEastAsia"/>
          <w:b w:val="0"/>
          <w:spacing w:val="-30"/>
          <w:lang w:val="zh-CN"/>
        </w:rPr>
        <w:t>〕：</w:t>
      </w:r>
      <w:r>
        <w:rPr>
          <w:rStyle w:val="13"/>
          <w:rFonts w:hint="eastAsia" w:asciiTheme="minorEastAsia" w:hAnsiTheme="minorEastAsia" w:eastAsiaTheme="minorEastAsia"/>
          <w:b w:val="0"/>
          <w:lang w:val="zh-CN"/>
        </w:rPr>
        <w:t>指财政厅事业单位离退休人员的支出。</w:t>
      </w:r>
    </w:p>
    <w:p>
      <w:pPr>
        <w:pStyle w:val="19"/>
        <w:widowControl/>
        <w:ind w:left="10" w:right="38" w:firstLine="64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社会保障和就业</w:t>
      </w:r>
      <w:r>
        <w:rPr>
          <w:rStyle w:val="13"/>
          <w:rFonts w:hint="eastAsia" w:asciiTheme="minorEastAsia" w:hAnsiTheme="minorEastAsia" w:eastAsiaTheme="minorEastAsia"/>
          <w:b w:val="0"/>
          <w:spacing w:val="70"/>
          <w:lang w:val="zh-CN"/>
        </w:rPr>
        <w:t>（类）</w:t>
      </w:r>
      <w:r>
        <w:rPr>
          <w:rStyle w:val="13"/>
          <w:rFonts w:hint="eastAsia" w:asciiTheme="minorEastAsia" w:hAnsiTheme="minorEastAsia" w:eastAsiaTheme="minorEastAsia"/>
          <w:b w:val="0"/>
          <w:lang w:val="zh-CN"/>
        </w:rPr>
        <w:t>行政事业单位离退休（款）其他行政事业单位离退休支出</w:t>
      </w:r>
      <w:r>
        <w:rPr>
          <w:rStyle w:val="13"/>
          <w:rFonts w:hint="eastAsia" w:asciiTheme="minorEastAsia" w:hAnsiTheme="minorEastAsia" w:eastAsiaTheme="minorEastAsia"/>
          <w:b w:val="0"/>
          <w:spacing w:val="70"/>
          <w:lang w:val="zh-CN"/>
        </w:rPr>
        <w:t>（项</w:t>
      </w:r>
      <w:r>
        <w:rPr>
          <w:rStyle w:val="13"/>
          <w:rFonts w:hint="eastAsia" w:asciiTheme="minorEastAsia" w:hAnsiTheme="minorEastAsia" w:eastAsiaTheme="minorEastAsia"/>
          <w:b w:val="0"/>
          <w:lang w:val="zh-CN"/>
        </w:rPr>
        <w:t>）指行政事业单位离退休人员的其他支出。</w:t>
      </w:r>
    </w:p>
    <w:p>
      <w:pPr>
        <w:pStyle w:val="19"/>
        <w:widowControl/>
        <w:ind w:left="14" w:right="34" w:firstLine="63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结余分配：指事业单位按规定提取的职工福利基金、事业基金和缴纳的所得税，以及建设单位按规定应交回的基本建设竣工项目结余资金。</w:t>
      </w:r>
    </w:p>
    <w:p>
      <w:pPr>
        <w:pStyle w:val="19"/>
        <w:widowControl/>
        <w:spacing w:before="58" w:line="619" w:lineRule="exact"/>
        <w:ind w:firstLine="0"/>
        <w:jc w:val="left"/>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 xml:space="preserve">    年末结转和结余：指本年度或以前年度预算安排、因客观条件发生变化无法按原计划实施，需要延迟到以后年度按有关规定继续使用的资金。</w:t>
      </w:r>
    </w:p>
    <w:p>
      <w:pPr>
        <w:pStyle w:val="19"/>
        <w:widowControl/>
        <w:spacing w:before="14"/>
        <w:ind w:left="48" w:right="19" w:firstLine="614"/>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基本支出：指为保障机构正常运转、完成日常工作任务而发生的人员支出和公用支出。</w:t>
      </w:r>
    </w:p>
    <w:p>
      <w:pPr>
        <w:pStyle w:val="19"/>
        <w:widowControl/>
        <w:spacing w:before="5"/>
        <w:ind w:left="43" w:right="24" w:firstLine="638"/>
        <w:rPr>
          <w:rStyle w:val="13"/>
          <w:rFonts w:asciiTheme="minorEastAsia" w:hAnsiTheme="minorEastAsia" w:eastAsiaTheme="minorEastAsia"/>
          <w:b w:val="0"/>
          <w:lang w:val="zh-CN"/>
        </w:rPr>
      </w:pPr>
      <w:r>
        <w:rPr>
          <w:rStyle w:val="13"/>
          <w:rFonts w:hint="eastAsia" w:asciiTheme="minorEastAsia" w:hAnsiTheme="minorEastAsia" w:eastAsiaTheme="minorEastAsia"/>
          <w:b w:val="0"/>
          <w:lang w:val="zh-CN"/>
        </w:rPr>
        <w:t>项目支出：指在基本支出之外为完成特定行政任务和事业发展目标所发生的支出。</w:t>
      </w:r>
    </w:p>
    <w:p>
      <w:pPr>
        <w:pStyle w:val="20"/>
        <w:widowControl/>
        <w:spacing w:line="624" w:lineRule="exact"/>
        <w:ind w:left="43" w:firstLine="758"/>
        <w:rPr>
          <w:rStyle w:val="13"/>
          <w:rFonts w:asciiTheme="minorEastAsia" w:hAnsiTheme="minorEastAsia" w:eastAsiaTheme="minorEastAsia"/>
          <w:b w:val="0"/>
          <w:lang w:val="zh-CN"/>
        </w:rPr>
      </w:pPr>
      <w:r>
        <w:rPr>
          <w:rStyle w:val="16"/>
          <w:rFonts w:hint="eastAsia" w:asciiTheme="minorEastAsia" w:hAnsiTheme="minorEastAsia" w:eastAsiaTheme="minorEastAsia"/>
          <w:b w:val="0"/>
          <w:spacing w:val="60"/>
          <w:sz w:val="28"/>
          <w:szCs w:val="28"/>
          <w:lang w:val="zh-CN"/>
        </w:rPr>
        <w:t>“三</w:t>
      </w:r>
      <w:r>
        <w:rPr>
          <w:rStyle w:val="13"/>
          <w:rFonts w:hint="eastAsia" w:asciiTheme="minorEastAsia" w:hAnsiTheme="minorEastAsia" w:eastAsiaTheme="minorEastAsia"/>
          <w:b w:val="0"/>
          <w:lang w:val="zh-CN"/>
        </w:rPr>
        <w:t>公”经费：纳入省财政预决算管理的“</w:t>
      </w:r>
      <w:r>
        <w:rPr>
          <w:rStyle w:val="16"/>
          <w:rFonts w:hint="eastAsia" w:asciiTheme="minorEastAsia" w:hAnsiTheme="minorEastAsia" w:eastAsiaTheme="minorEastAsia"/>
          <w:b w:val="0"/>
          <w:spacing w:val="60"/>
          <w:sz w:val="28"/>
          <w:szCs w:val="28"/>
          <w:lang w:val="zh-CN"/>
        </w:rPr>
        <w:t>三</w:t>
      </w:r>
      <w:r>
        <w:rPr>
          <w:rStyle w:val="13"/>
          <w:rFonts w:hint="eastAsia" w:asciiTheme="minorEastAsia" w:hAnsiTheme="minorEastAsia" w:eastAsiaTheme="minorEastAsia"/>
          <w:b w:val="0"/>
          <w:lang w:val="zh-CN"/>
        </w:rPr>
        <w:t>公”经费，是指财政部门用财政拨款安排的因公出国</w:t>
      </w:r>
      <w:r>
        <w:rPr>
          <w:rStyle w:val="13"/>
          <w:rFonts w:hint="eastAsia" w:asciiTheme="minorEastAsia" w:hAnsiTheme="minorEastAsia" w:eastAsiaTheme="minorEastAsia"/>
          <w:b w:val="0"/>
          <w:spacing w:val="70"/>
          <w:lang w:val="zh-CN"/>
        </w:rPr>
        <w:t>（境）</w:t>
      </w:r>
      <w:r>
        <w:rPr>
          <w:rStyle w:val="13"/>
          <w:rFonts w:hint="eastAsia" w:asciiTheme="minorEastAsia" w:hAnsiTheme="minorEastAsia" w:eastAsiaTheme="minorEastAsia"/>
          <w:b w:val="0"/>
          <w:lang w:val="zh-CN"/>
        </w:rPr>
        <w:t>费、公务用车购置及运行费和公务接待费。其中，因公出国</w:t>
      </w:r>
      <w:r>
        <w:rPr>
          <w:rStyle w:val="13"/>
          <w:rFonts w:hint="eastAsia" w:asciiTheme="minorEastAsia" w:hAnsiTheme="minorEastAsia" w:eastAsiaTheme="minorEastAsia"/>
          <w:b w:val="0"/>
          <w:spacing w:val="70"/>
          <w:lang w:val="zh-CN"/>
        </w:rPr>
        <w:t>（境）</w:t>
      </w:r>
      <w:r>
        <w:rPr>
          <w:rStyle w:val="13"/>
          <w:rFonts w:hint="eastAsia" w:asciiTheme="minorEastAsia" w:hAnsiTheme="minorEastAsia" w:eastAsiaTheme="minorEastAsia"/>
          <w:b w:val="0"/>
          <w:lang w:val="zh-CN"/>
        </w:rPr>
        <w:t>费反映单位公务出国</w:t>
      </w:r>
      <w:r>
        <w:rPr>
          <w:rStyle w:val="13"/>
          <w:rFonts w:hint="eastAsia" w:asciiTheme="minorEastAsia" w:hAnsiTheme="minorEastAsia" w:eastAsiaTheme="minorEastAsia"/>
          <w:b w:val="0"/>
          <w:spacing w:val="70"/>
          <w:lang w:val="zh-CN"/>
        </w:rPr>
        <w:t>（境）</w:t>
      </w:r>
      <w:r>
        <w:rPr>
          <w:rStyle w:val="13"/>
          <w:rFonts w:hint="eastAsia" w:asciiTheme="minorEastAsia" w:hAnsiTheme="minorEastAsia" w:eastAsiaTheme="minorEastAsia"/>
          <w:b w:val="0"/>
          <w:lang w:val="zh-CN"/>
        </w:rPr>
        <w:t>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3"/>
          <w:rFonts w:hint="eastAsia" w:asciiTheme="minorEastAsia" w:hAnsiTheme="minorEastAsia" w:eastAsiaTheme="minorEastAsia"/>
          <w:b w:val="0"/>
          <w:spacing w:val="70"/>
          <w:lang w:val="zh-CN"/>
        </w:rPr>
        <w:t>待）</w:t>
      </w:r>
      <w:r>
        <w:rPr>
          <w:rStyle w:val="13"/>
          <w:rFonts w:hint="eastAsia" w:asciiTheme="minorEastAsia" w:hAnsiTheme="minorEastAsia" w:eastAsiaTheme="minorEastAsia"/>
          <w:b w:val="0"/>
          <w:lang w:val="zh-CN"/>
        </w:rPr>
        <w:t>支出。</w:t>
      </w:r>
    </w:p>
    <w:p>
      <w:pPr>
        <w:pStyle w:val="20"/>
        <w:widowControl/>
        <w:spacing w:line="624" w:lineRule="exact"/>
        <w:ind w:left="43" w:firstLine="758"/>
        <w:rPr>
          <w:rFonts w:asciiTheme="minorEastAsia" w:hAnsiTheme="minorEastAsia"/>
          <w:spacing w:val="-20"/>
          <w:sz w:val="28"/>
          <w:szCs w:val="28"/>
        </w:rPr>
      </w:pPr>
      <w:r>
        <w:rPr>
          <w:rStyle w:val="13"/>
          <w:rFonts w:hint="eastAsia" w:asciiTheme="minorEastAsia" w:hAnsiTheme="minorEastAsia" w:eastAsiaTheme="minorEastAsia"/>
          <w:b w:val="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宋体,微软雅黑">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5F82"/>
    <w:multiLevelType w:val="multilevel"/>
    <w:tmpl w:val="18965F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F57CB9"/>
    <w:multiLevelType w:val="multilevel"/>
    <w:tmpl w:val="50F57C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2D62B6"/>
    <w:multiLevelType w:val="multilevel"/>
    <w:tmpl w:val="592D62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DF1638"/>
    <w:multiLevelType w:val="multilevel"/>
    <w:tmpl w:val="7DDF1638"/>
    <w:lvl w:ilvl="0" w:tentative="0">
      <w:start w:val="1"/>
      <w:numFmt w:val="japaneseCounting"/>
      <w:lvlText w:val="%1、"/>
      <w:lvlJc w:val="left"/>
      <w:pPr>
        <w:ind w:left="405" w:hanging="405"/>
      </w:pPr>
      <w:rPr>
        <w:rFonts w:hint="default" w:ascii="MingLiU" w:eastAsia="MingLiU" w:cs="MingLiU"/>
        <w:w w:val="70"/>
        <w:sz w:val="3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4DE"/>
    <w:rsid w:val="00063DDD"/>
    <w:rsid w:val="00066432"/>
    <w:rsid w:val="000768D8"/>
    <w:rsid w:val="00081E0B"/>
    <w:rsid w:val="000926A3"/>
    <w:rsid w:val="000A2178"/>
    <w:rsid w:val="000A592B"/>
    <w:rsid w:val="000C58BD"/>
    <w:rsid w:val="000D3AAE"/>
    <w:rsid w:val="000F55C7"/>
    <w:rsid w:val="001269CE"/>
    <w:rsid w:val="00144EAC"/>
    <w:rsid w:val="001515FF"/>
    <w:rsid w:val="001547E7"/>
    <w:rsid w:val="0016259F"/>
    <w:rsid w:val="00165A04"/>
    <w:rsid w:val="0017488F"/>
    <w:rsid w:val="00175516"/>
    <w:rsid w:val="001962B2"/>
    <w:rsid w:val="001A14AF"/>
    <w:rsid w:val="001C284D"/>
    <w:rsid w:val="002071FC"/>
    <w:rsid w:val="0022014E"/>
    <w:rsid w:val="00247E74"/>
    <w:rsid w:val="00277C25"/>
    <w:rsid w:val="00290854"/>
    <w:rsid w:val="00292352"/>
    <w:rsid w:val="002A02F2"/>
    <w:rsid w:val="002A4A39"/>
    <w:rsid w:val="002C5204"/>
    <w:rsid w:val="002C6E42"/>
    <w:rsid w:val="002E36D3"/>
    <w:rsid w:val="002F4217"/>
    <w:rsid w:val="0030753A"/>
    <w:rsid w:val="00361666"/>
    <w:rsid w:val="003C01B9"/>
    <w:rsid w:val="003E107F"/>
    <w:rsid w:val="004918ED"/>
    <w:rsid w:val="004B5B87"/>
    <w:rsid w:val="004E4403"/>
    <w:rsid w:val="004E6D2A"/>
    <w:rsid w:val="00527F0B"/>
    <w:rsid w:val="00540EC6"/>
    <w:rsid w:val="005452E3"/>
    <w:rsid w:val="00563117"/>
    <w:rsid w:val="005B63D6"/>
    <w:rsid w:val="005D57BA"/>
    <w:rsid w:val="005E4268"/>
    <w:rsid w:val="00615CE9"/>
    <w:rsid w:val="00647B54"/>
    <w:rsid w:val="00666468"/>
    <w:rsid w:val="0069635F"/>
    <w:rsid w:val="006B3A37"/>
    <w:rsid w:val="0072288C"/>
    <w:rsid w:val="007476E1"/>
    <w:rsid w:val="00772399"/>
    <w:rsid w:val="007806FE"/>
    <w:rsid w:val="0079299C"/>
    <w:rsid w:val="00797D0C"/>
    <w:rsid w:val="007C2526"/>
    <w:rsid w:val="007D09B3"/>
    <w:rsid w:val="007D1B39"/>
    <w:rsid w:val="007D75B7"/>
    <w:rsid w:val="007E1C0A"/>
    <w:rsid w:val="00835CDF"/>
    <w:rsid w:val="008A07DC"/>
    <w:rsid w:val="008A718E"/>
    <w:rsid w:val="008D0192"/>
    <w:rsid w:val="008E367C"/>
    <w:rsid w:val="00901320"/>
    <w:rsid w:val="00971F82"/>
    <w:rsid w:val="00994794"/>
    <w:rsid w:val="009C3C7F"/>
    <w:rsid w:val="009E1772"/>
    <w:rsid w:val="00A03429"/>
    <w:rsid w:val="00AE1C60"/>
    <w:rsid w:val="00B00D1A"/>
    <w:rsid w:val="00B86D73"/>
    <w:rsid w:val="00BB70A5"/>
    <w:rsid w:val="00BD4C28"/>
    <w:rsid w:val="00BD6C96"/>
    <w:rsid w:val="00BE50E3"/>
    <w:rsid w:val="00C17B88"/>
    <w:rsid w:val="00C3194E"/>
    <w:rsid w:val="00C43EF6"/>
    <w:rsid w:val="00C57D6D"/>
    <w:rsid w:val="00C57D86"/>
    <w:rsid w:val="00C759CF"/>
    <w:rsid w:val="00C80B25"/>
    <w:rsid w:val="00C870C9"/>
    <w:rsid w:val="00CD04DE"/>
    <w:rsid w:val="00CD6CDF"/>
    <w:rsid w:val="00CE055C"/>
    <w:rsid w:val="00CF1DF1"/>
    <w:rsid w:val="00CF23C7"/>
    <w:rsid w:val="00D15A65"/>
    <w:rsid w:val="00D27253"/>
    <w:rsid w:val="00D55CE6"/>
    <w:rsid w:val="00D60DC6"/>
    <w:rsid w:val="00D728FF"/>
    <w:rsid w:val="00DA1CE3"/>
    <w:rsid w:val="00DA2793"/>
    <w:rsid w:val="00DF47FA"/>
    <w:rsid w:val="00E077D0"/>
    <w:rsid w:val="00E242E2"/>
    <w:rsid w:val="00E51D05"/>
    <w:rsid w:val="00E61047"/>
    <w:rsid w:val="00E727B7"/>
    <w:rsid w:val="00EB1BA0"/>
    <w:rsid w:val="00ED1157"/>
    <w:rsid w:val="00EE56BF"/>
    <w:rsid w:val="00F21C2B"/>
    <w:rsid w:val="00F24637"/>
    <w:rsid w:val="00F56EBE"/>
    <w:rsid w:val="00F62B6C"/>
    <w:rsid w:val="00F64E55"/>
    <w:rsid w:val="00F6680A"/>
    <w:rsid w:val="00F8603B"/>
    <w:rsid w:val="00F927D2"/>
    <w:rsid w:val="00FA0721"/>
    <w:rsid w:val="083D38BC"/>
    <w:rsid w:val="0DF51976"/>
    <w:rsid w:val="11ED660A"/>
    <w:rsid w:val="131F528E"/>
    <w:rsid w:val="151F3637"/>
    <w:rsid w:val="1C63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1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Font Style31"/>
    <w:basedOn w:val="7"/>
    <w:qFormat/>
    <w:uiPriority w:val="99"/>
    <w:rPr>
      <w:rFonts w:ascii="宋体" w:eastAsia="宋体" w:cs="宋体"/>
      <w:b/>
      <w:bCs/>
      <w:spacing w:val="20"/>
      <w:sz w:val="28"/>
      <w:szCs w:val="28"/>
    </w:rPr>
  </w:style>
  <w:style w:type="character" w:customStyle="1" w:styleId="14">
    <w:name w:val="Font Style51"/>
    <w:basedOn w:val="7"/>
    <w:qFormat/>
    <w:uiPriority w:val="99"/>
    <w:rPr>
      <w:rFonts w:ascii="MingLiU" w:eastAsia="MingLiU" w:cs="MingLiU"/>
      <w:b/>
      <w:bCs/>
      <w:spacing w:val="-30"/>
      <w:w w:val="70"/>
      <w:sz w:val="34"/>
      <w:szCs w:val="34"/>
    </w:rPr>
  </w:style>
  <w:style w:type="paragraph" w:customStyle="1" w:styleId="15">
    <w:name w:val="Style5"/>
    <w:basedOn w:val="1"/>
    <w:qFormat/>
    <w:uiPriority w:val="99"/>
    <w:pPr>
      <w:adjustRightInd w:val="0"/>
      <w:jc w:val="left"/>
    </w:pPr>
    <w:rPr>
      <w:rFonts w:ascii="黑体" w:eastAsia="黑体"/>
      <w:kern w:val="0"/>
      <w:sz w:val="24"/>
      <w:szCs w:val="24"/>
    </w:rPr>
  </w:style>
  <w:style w:type="character" w:customStyle="1" w:styleId="16">
    <w:name w:val="Font Style49"/>
    <w:basedOn w:val="7"/>
    <w:qFormat/>
    <w:uiPriority w:val="99"/>
    <w:rPr>
      <w:rFonts w:ascii="宋体" w:eastAsia="宋体" w:cs="宋体"/>
      <w:b/>
      <w:bCs/>
      <w:spacing w:val="30"/>
      <w:sz w:val="26"/>
      <w:szCs w:val="26"/>
    </w:rPr>
  </w:style>
  <w:style w:type="paragraph" w:customStyle="1" w:styleId="17">
    <w:name w:val="Style9"/>
    <w:basedOn w:val="1"/>
    <w:qFormat/>
    <w:uiPriority w:val="99"/>
    <w:pPr>
      <w:adjustRightInd w:val="0"/>
      <w:spacing w:line="624" w:lineRule="exact"/>
    </w:pPr>
    <w:rPr>
      <w:rFonts w:ascii="黑体" w:eastAsia="黑体"/>
      <w:kern w:val="0"/>
      <w:sz w:val="24"/>
      <w:szCs w:val="24"/>
    </w:rPr>
  </w:style>
  <w:style w:type="character" w:customStyle="1" w:styleId="18">
    <w:name w:val="Font Style50"/>
    <w:basedOn w:val="7"/>
    <w:qFormat/>
    <w:uiPriority w:val="99"/>
    <w:rPr>
      <w:rFonts w:ascii="宋体" w:eastAsia="宋体" w:cs="宋体"/>
      <w:b/>
      <w:bCs/>
      <w:spacing w:val="30"/>
      <w:sz w:val="26"/>
      <w:szCs w:val="26"/>
    </w:rPr>
  </w:style>
  <w:style w:type="paragraph" w:customStyle="1" w:styleId="19">
    <w:name w:val="Style12"/>
    <w:basedOn w:val="1"/>
    <w:uiPriority w:val="99"/>
    <w:pPr>
      <w:adjustRightInd w:val="0"/>
      <w:spacing w:line="624" w:lineRule="exact"/>
      <w:ind w:firstLine="634"/>
    </w:pPr>
    <w:rPr>
      <w:rFonts w:ascii="黑体" w:eastAsia="黑体"/>
      <w:kern w:val="0"/>
      <w:sz w:val="24"/>
      <w:szCs w:val="24"/>
    </w:rPr>
  </w:style>
  <w:style w:type="paragraph" w:customStyle="1" w:styleId="20">
    <w:name w:val="Style14"/>
    <w:basedOn w:val="1"/>
    <w:uiPriority w:val="99"/>
    <w:pPr>
      <w:adjustRightInd w:val="0"/>
      <w:spacing w:line="634" w:lineRule="exact"/>
      <w:ind w:firstLine="643"/>
      <w:jc w:val="left"/>
    </w:pPr>
    <w:rPr>
      <w:rFonts w:ascii="黑体" w:eastAsia="黑体"/>
      <w:kern w:val="0"/>
      <w:sz w:val="24"/>
      <w:szCs w:val="24"/>
    </w:rPr>
  </w:style>
  <w:style w:type="character" w:customStyle="1" w:styleId="21">
    <w:name w:val="Font Style32"/>
    <w:basedOn w:val="7"/>
    <w:qFormat/>
    <w:uiPriority w:val="99"/>
    <w:rPr>
      <w:rFonts w:ascii="MingLiU" w:eastAsia="MingLiU" w:cs="MingLiU"/>
      <w:b/>
      <w:bCs/>
      <w:i/>
      <w:iCs/>
      <w:spacing w:val="10"/>
      <w:sz w:val="22"/>
      <w:szCs w:val="22"/>
    </w:rPr>
  </w:style>
  <w:style w:type="character" w:customStyle="1" w:styleId="22">
    <w:name w:val="Font Style38"/>
    <w:basedOn w:val="7"/>
    <w:uiPriority w:val="99"/>
    <w:rPr>
      <w:rFonts w:ascii="宋体" w:eastAsia="宋体" w:cs="宋体"/>
      <w:b/>
      <w:bCs/>
      <w:sz w:val="30"/>
      <w:szCs w:val="30"/>
    </w:rPr>
  </w:style>
  <w:style w:type="character" w:customStyle="1" w:styleId="23">
    <w:name w:val="Font Style52"/>
    <w:basedOn w:val="7"/>
    <w:qFormat/>
    <w:uiPriority w:val="99"/>
    <w:rPr>
      <w:rFonts w:ascii="宋体" w:eastAsia="宋体" w:cs="宋体"/>
      <w:b/>
      <w:bCs/>
      <w:sz w:val="30"/>
      <w:szCs w:val="30"/>
    </w:rPr>
  </w:style>
  <w:style w:type="paragraph" w:customStyle="1" w:styleId="24">
    <w:name w:val="Style15"/>
    <w:basedOn w:val="1"/>
    <w:qFormat/>
    <w:uiPriority w:val="99"/>
    <w:pPr>
      <w:adjustRightInd w:val="0"/>
      <w:jc w:val="left"/>
    </w:pPr>
    <w:rPr>
      <w:rFonts w:ascii="黑体" w:eastAsia="黑体"/>
      <w:kern w:val="0"/>
      <w:sz w:val="24"/>
      <w:szCs w:val="24"/>
    </w:rPr>
  </w:style>
  <w:style w:type="character" w:customStyle="1" w:styleId="25">
    <w:name w:val="Font Style35"/>
    <w:basedOn w:val="7"/>
    <w:uiPriority w:val="99"/>
    <w:rPr>
      <w:rFonts w:ascii="宋体" w:eastAsia="宋体" w:cs="宋体"/>
      <w:b/>
      <w:bCs/>
      <w:i/>
      <w:iCs/>
      <w:spacing w:val="90"/>
      <w:sz w:val="30"/>
      <w:szCs w:val="30"/>
    </w:rPr>
  </w:style>
  <w:style w:type="paragraph" w:customStyle="1" w:styleId="26">
    <w:name w:val="Style2"/>
    <w:basedOn w:val="1"/>
    <w:qFormat/>
    <w:uiPriority w:val="99"/>
    <w:pPr>
      <w:adjustRightInd w:val="0"/>
      <w:jc w:val="left"/>
    </w:pPr>
    <w:rPr>
      <w:rFonts w:ascii="黑体" w:eastAsia="黑体"/>
      <w:kern w:val="0"/>
      <w:sz w:val="24"/>
      <w:szCs w:val="24"/>
    </w:rPr>
  </w:style>
  <w:style w:type="paragraph" w:customStyle="1" w:styleId="27">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28">
    <w:name w:val="Style13"/>
    <w:basedOn w:val="1"/>
    <w:qFormat/>
    <w:uiPriority w:val="99"/>
    <w:pPr>
      <w:adjustRightInd w:val="0"/>
      <w:spacing w:line="624" w:lineRule="exact"/>
      <w:ind w:firstLine="134"/>
      <w:jc w:val="left"/>
    </w:pPr>
    <w:rPr>
      <w:rFonts w:ascii="黑体" w:eastAsia="黑体"/>
      <w:kern w:val="0"/>
      <w:sz w:val="24"/>
      <w:szCs w:val="24"/>
    </w:rPr>
  </w:style>
  <w:style w:type="paragraph" w:customStyle="1" w:styleId="29">
    <w:name w:val="Style1"/>
    <w:basedOn w:val="1"/>
    <w:qFormat/>
    <w:uiPriority w:val="99"/>
    <w:pPr>
      <w:adjustRightInd w:val="0"/>
    </w:pPr>
    <w:rPr>
      <w:rFonts w:ascii="黑体" w:eastAsia="黑体"/>
      <w:kern w:val="0"/>
      <w:sz w:val="24"/>
      <w:szCs w:val="24"/>
    </w:rPr>
  </w:style>
  <w:style w:type="character" w:customStyle="1" w:styleId="3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734FB-40F0-4D09-8923-C3377390C5F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610</Words>
  <Characters>3483</Characters>
  <Lines>29</Lines>
  <Paragraphs>8</Paragraphs>
  <TotalTime>0</TotalTime>
  <ScaleCrop>false</ScaleCrop>
  <LinksUpToDate>false</LinksUpToDate>
  <CharactersWithSpaces>4085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2016-10-21T02:22:00Z</dcterms:created>
  <dc:creator>Chinese User</dc:creator>
  <cp:lastModifiedBy>Administrator</cp:lastModifiedBy>
  <dcterms:modified xsi:type="dcterms:W3CDTF">2022-03-03T01:48:37Z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7D068F3FADAF4EEBB2B183B28247123A</vt:lpwstr>
  </property>
</Properties>
</file>