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spacing w:val="-10"/>
          <w:position w:val="-4"/>
          <w:lang w:val="zh-CN"/>
        </w:rPr>
      </w:pPr>
      <w:bookmarkStart w:id="3" w:name="_GoBack"/>
      <w:bookmarkEnd w:id="3"/>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7"/>
          <w:spacing w:val="-10"/>
          <w:position w:val="-4"/>
          <w:sz w:val="44"/>
          <w:szCs w:val="44"/>
          <w:lang w:val="zh-CN"/>
        </w:rPr>
      </w:pPr>
      <w:r>
        <w:rPr>
          <w:rStyle w:val="8"/>
          <w:rFonts w:hint="eastAsia"/>
          <w:spacing w:val="-10"/>
          <w:position w:val="-4"/>
          <w:sz w:val="44"/>
          <w:szCs w:val="44"/>
          <w:lang w:val="zh-CN"/>
        </w:rPr>
        <w:t>2015</w:t>
      </w:r>
      <w:r>
        <w:rPr>
          <w:rStyle w:val="7"/>
          <w:rFonts w:hint="eastAsia"/>
          <w:spacing w:val="-10"/>
          <w:position w:val="-4"/>
          <w:sz w:val="44"/>
          <w:szCs w:val="44"/>
          <w:lang w:val="zh-CN"/>
        </w:rPr>
        <w:t>年度大埔县委政法委部门决算</w:t>
      </w: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pStyle w:val="34"/>
        <w:widowControl/>
        <w:jc w:val="center"/>
        <w:rPr>
          <w:rStyle w:val="7"/>
          <w:sz w:val="36"/>
          <w:szCs w:val="36"/>
          <w:lang w:val="zh-CN"/>
        </w:rPr>
      </w:pPr>
      <w:r>
        <w:rPr>
          <w:rStyle w:val="7"/>
          <w:rFonts w:hint="eastAsia"/>
          <w:sz w:val="36"/>
          <w:szCs w:val="36"/>
          <w:lang w:val="zh-CN"/>
        </w:rPr>
        <w:t>目 录</w:t>
      </w:r>
    </w:p>
    <w:p>
      <w:pPr>
        <w:pStyle w:val="34"/>
        <w:widowControl/>
        <w:jc w:val="center"/>
        <w:rPr>
          <w:rStyle w:val="7"/>
          <w:lang w:val="zh-CN"/>
        </w:rPr>
      </w:pPr>
    </w:p>
    <w:p>
      <w:pPr>
        <w:pStyle w:val="12"/>
        <w:widowControl/>
        <w:spacing w:line="629" w:lineRule="exact"/>
        <w:rPr>
          <w:rStyle w:val="9"/>
          <w:lang w:val="zh-CN"/>
        </w:rPr>
      </w:pPr>
      <w:r>
        <w:rPr>
          <w:rStyle w:val="9"/>
          <w:rFonts w:hint="eastAsia"/>
          <w:lang w:val="zh-CN"/>
        </w:rPr>
        <w:t>第一部分</w:t>
      </w:r>
      <w:r>
        <w:rPr>
          <w:rStyle w:val="8"/>
          <w:rFonts w:hint="eastAsia"/>
          <w:lang w:val="zh-CN"/>
        </w:rPr>
        <w:t>2015</w:t>
      </w:r>
      <w:r>
        <w:rPr>
          <w:rStyle w:val="9"/>
          <w:rFonts w:hint="eastAsia"/>
          <w:lang w:val="zh-CN"/>
        </w:rPr>
        <w:t>年大埔县委政法委基本情况</w:t>
      </w:r>
    </w:p>
    <w:p>
      <w:pPr>
        <w:pStyle w:val="10"/>
        <w:widowControl/>
        <w:numPr>
          <w:ilvl w:val="0"/>
          <w:numId w:val="1"/>
        </w:numPr>
        <w:tabs>
          <w:tab w:val="left" w:pos="629"/>
        </w:tabs>
        <w:spacing w:line="629" w:lineRule="exact"/>
        <w:ind w:left="10"/>
        <w:rPr>
          <w:rStyle w:val="11"/>
          <w:lang w:val="zh-CN"/>
        </w:rPr>
      </w:pPr>
      <w:r>
        <w:rPr>
          <w:rStyle w:val="7"/>
          <w:rFonts w:hint="eastAsia"/>
          <w:lang w:val="zh-CN"/>
        </w:rPr>
        <w:t>部门职责</w:t>
      </w:r>
    </w:p>
    <w:p>
      <w:pPr>
        <w:pStyle w:val="10"/>
        <w:widowControl/>
        <w:numPr>
          <w:ilvl w:val="0"/>
          <w:numId w:val="2"/>
        </w:numPr>
        <w:tabs>
          <w:tab w:val="left" w:pos="629"/>
        </w:tabs>
        <w:spacing w:line="629" w:lineRule="exact"/>
        <w:ind w:left="10"/>
        <w:rPr>
          <w:rStyle w:val="13"/>
          <w:spacing w:val="40"/>
          <w:lang w:val="zh-CN"/>
        </w:rPr>
      </w:pPr>
      <w:r>
        <w:rPr>
          <w:rStyle w:val="7"/>
          <w:rFonts w:hint="eastAsia"/>
          <w:lang w:val="zh-CN"/>
        </w:rPr>
        <w:t>机构设置</w:t>
      </w:r>
    </w:p>
    <w:p>
      <w:pPr>
        <w:pStyle w:val="12"/>
        <w:widowControl/>
        <w:spacing w:line="240" w:lineRule="exact"/>
        <w:rPr>
          <w:sz w:val="20"/>
          <w:szCs w:val="20"/>
        </w:rPr>
      </w:pPr>
    </w:p>
    <w:p>
      <w:pPr>
        <w:pStyle w:val="12"/>
        <w:widowControl/>
        <w:spacing w:line="240" w:lineRule="exact"/>
        <w:rPr>
          <w:sz w:val="20"/>
          <w:szCs w:val="20"/>
        </w:rPr>
      </w:pPr>
    </w:p>
    <w:p>
      <w:pPr>
        <w:pStyle w:val="12"/>
        <w:widowControl/>
        <w:spacing w:line="240" w:lineRule="exact"/>
        <w:rPr>
          <w:sz w:val="20"/>
          <w:szCs w:val="20"/>
        </w:rPr>
      </w:pPr>
    </w:p>
    <w:p>
      <w:pPr>
        <w:pStyle w:val="12"/>
        <w:widowControl/>
        <w:spacing w:before="91"/>
        <w:rPr>
          <w:rStyle w:val="9"/>
          <w:lang w:val="zh-CN"/>
        </w:rPr>
      </w:pPr>
      <w:r>
        <w:rPr>
          <w:rStyle w:val="9"/>
          <w:rFonts w:hint="eastAsia"/>
          <w:lang w:val="zh-CN"/>
        </w:rPr>
        <w:t>第二部分</w:t>
      </w:r>
      <w:r>
        <w:rPr>
          <w:rStyle w:val="8"/>
          <w:rFonts w:hint="eastAsia"/>
          <w:lang w:val="zh-CN"/>
        </w:rPr>
        <w:t>2015</w:t>
      </w:r>
      <w:r>
        <w:rPr>
          <w:rStyle w:val="9"/>
          <w:rFonts w:hint="eastAsia"/>
          <w:lang w:val="zh-CN"/>
        </w:rPr>
        <w:t>年大埔县委政法委部门决算表</w:t>
      </w:r>
    </w:p>
    <w:p>
      <w:pPr>
        <w:pStyle w:val="10"/>
        <w:widowControl/>
        <w:numPr>
          <w:ilvl w:val="0"/>
          <w:numId w:val="3"/>
        </w:numPr>
        <w:tabs>
          <w:tab w:val="left" w:pos="638"/>
        </w:tabs>
        <w:spacing w:before="62" w:line="624" w:lineRule="exact"/>
        <w:rPr>
          <w:rStyle w:val="11"/>
          <w:lang w:val="zh-CN"/>
        </w:rPr>
      </w:pPr>
      <w:r>
        <w:rPr>
          <w:rStyle w:val="7"/>
          <w:rFonts w:hint="eastAsia"/>
          <w:lang w:val="zh-CN"/>
        </w:rPr>
        <w:t>收入支出决算总表</w:t>
      </w:r>
    </w:p>
    <w:p>
      <w:pPr>
        <w:pStyle w:val="10"/>
        <w:widowControl/>
        <w:numPr>
          <w:ilvl w:val="0"/>
          <w:numId w:val="4"/>
        </w:numPr>
        <w:tabs>
          <w:tab w:val="left" w:pos="638"/>
        </w:tabs>
        <w:spacing w:line="624" w:lineRule="exact"/>
        <w:rPr>
          <w:rStyle w:val="13"/>
          <w:spacing w:val="40"/>
          <w:lang w:val="zh-CN"/>
        </w:rPr>
      </w:pPr>
      <w:r>
        <w:rPr>
          <w:rStyle w:val="7"/>
          <w:rFonts w:hint="eastAsia"/>
          <w:lang w:val="zh-CN"/>
        </w:rPr>
        <w:t>收入决算表</w:t>
      </w:r>
    </w:p>
    <w:p>
      <w:pPr>
        <w:pStyle w:val="10"/>
        <w:widowControl/>
        <w:numPr>
          <w:ilvl w:val="0"/>
          <w:numId w:val="4"/>
        </w:numPr>
        <w:tabs>
          <w:tab w:val="left" w:pos="638"/>
        </w:tabs>
        <w:spacing w:before="5" w:line="624" w:lineRule="exact"/>
        <w:rPr>
          <w:rStyle w:val="14"/>
          <w:lang w:val="zh-CN"/>
        </w:rPr>
      </w:pPr>
      <w:r>
        <w:rPr>
          <w:rStyle w:val="7"/>
          <w:rFonts w:hint="eastAsia"/>
          <w:lang w:val="zh-CN"/>
        </w:rPr>
        <w:t>支出决算表</w:t>
      </w:r>
    </w:p>
    <w:p>
      <w:pPr>
        <w:pStyle w:val="10"/>
        <w:widowControl/>
        <w:numPr>
          <w:ilvl w:val="0"/>
          <w:numId w:val="4"/>
        </w:numPr>
        <w:tabs>
          <w:tab w:val="left" w:pos="638"/>
        </w:tabs>
        <w:spacing w:line="624" w:lineRule="exact"/>
        <w:rPr>
          <w:rStyle w:val="7"/>
          <w:lang w:val="zh-CN"/>
        </w:rPr>
      </w:pPr>
      <w:r>
        <w:rPr>
          <w:rStyle w:val="7"/>
          <w:rFonts w:hint="eastAsia"/>
          <w:lang w:val="zh-CN"/>
        </w:rPr>
        <w:t>财政拨款收入支出决算总表</w:t>
      </w:r>
    </w:p>
    <w:p>
      <w:pPr>
        <w:pStyle w:val="10"/>
        <w:widowControl/>
        <w:numPr>
          <w:ilvl w:val="0"/>
          <w:numId w:val="4"/>
        </w:numPr>
        <w:tabs>
          <w:tab w:val="left" w:pos="638"/>
        </w:tabs>
        <w:spacing w:line="624" w:lineRule="exact"/>
        <w:rPr>
          <w:rStyle w:val="7"/>
          <w:lang w:val="zh-CN"/>
        </w:rPr>
      </w:pPr>
      <w:r>
        <w:rPr>
          <w:rStyle w:val="7"/>
          <w:rFonts w:hint="eastAsia"/>
          <w:lang w:val="zh-CN"/>
        </w:rPr>
        <w:t>一般公共预算财政拨款支出决算表</w:t>
      </w:r>
    </w:p>
    <w:p>
      <w:pPr>
        <w:pStyle w:val="10"/>
        <w:widowControl/>
        <w:numPr>
          <w:ilvl w:val="0"/>
          <w:numId w:val="4"/>
        </w:numPr>
        <w:tabs>
          <w:tab w:val="left" w:pos="638"/>
        </w:tabs>
        <w:spacing w:line="624" w:lineRule="exact"/>
        <w:rPr>
          <w:rStyle w:val="7"/>
          <w:lang w:val="zh-CN"/>
        </w:rPr>
      </w:pPr>
      <w:r>
        <w:rPr>
          <w:rStyle w:val="7"/>
          <w:rFonts w:hint="eastAsia"/>
          <w:lang w:val="zh-CN"/>
        </w:rPr>
        <w:t>一般公共预算财政拨款基本支出决算表</w:t>
      </w:r>
    </w:p>
    <w:p>
      <w:pPr>
        <w:pStyle w:val="10"/>
        <w:widowControl/>
        <w:numPr>
          <w:ilvl w:val="0"/>
          <w:numId w:val="4"/>
        </w:numPr>
        <w:tabs>
          <w:tab w:val="left" w:pos="638"/>
        </w:tabs>
        <w:spacing w:before="10" w:line="624" w:lineRule="exact"/>
        <w:jc w:val="both"/>
        <w:rPr>
          <w:rStyle w:val="7"/>
          <w:lang w:val="zh-CN"/>
        </w:rPr>
      </w:pPr>
      <w:r>
        <w:rPr>
          <w:rStyle w:val="11"/>
          <w:rFonts w:hint="eastAsia"/>
          <w:lang w:val="zh-CN"/>
        </w:rPr>
        <w:t>一</w:t>
      </w:r>
      <w:r>
        <w:rPr>
          <w:rStyle w:val="7"/>
          <w:rFonts w:hint="eastAsia"/>
          <w:lang w:val="zh-CN"/>
        </w:rPr>
        <w:t>般公共预算财政拨款"</w:t>
      </w:r>
      <w:r>
        <w:rPr>
          <w:rStyle w:val="14"/>
          <w:rFonts w:hint="eastAsia"/>
          <w:lang w:val="zh-CN"/>
        </w:rPr>
        <w:t>三</w:t>
      </w:r>
      <w:r>
        <w:rPr>
          <w:rStyle w:val="7"/>
          <w:rFonts w:hint="eastAsia"/>
          <w:lang w:val="zh-CN"/>
        </w:rPr>
        <w:t>公"经费支出决算表</w:t>
      </w:r>
    </w:p>
    <w:p>
      <w:pPr>
        <w:pStyle w:val="10"/>
        <w:widowControl/>
        <w:numPr>
          <w:ilvl w:val="0"/>
          <w:numId w:val="4"/>
        </w:numPr>
        <w:tabs>
          <w:tab w:val="left" w:pos="638"/>
        </w:tabs>
        <w:spacing w:line="624" w:lineRule="exact"/>
        <w:rPr>
          <w:rStyle w:val="7"/>
          <w:lang w:val="zh-CN"/>
        </w:rPr>
      </w:pPr>
      <w:r>
        <w:rPr>
          <w:rStyle w:val="7"/>
          <w:rFonts w:hint="eastAsia"/>
          <w:lang w:val="zh-CN"/>
        </w:rPr>
        <w:t>政府性基金预算财政拨款收入支出决算表</w:t>
      </w:r>
    </w:p>
    <w:p>
      <w:pPr>
        <w:pStyle w:val="12"/>
        <w:widowControl/>
        <w:spacing w:line="240" w:lineRule="exact"/>
        <w:ind w:left="5"/>
        <w:rPr>
          <w:sz w:val="20"/>
          <w:szCs w:val="20"/>
        </w:rPr>
      </w:pPr>
    </w:p>
    <w:p>
      <w:pPr>
        <w:pStyle w:val="12"/>
        <w:widowControl/>
        <w:spacing w:line="240" w:lineRule="exact"/>
        <w:ind w:left="5"/>
        <w:rPr>
          <w:sz w:val="20"/>
          <w:szCs w:val="20"/>
        </w:rPr>
      </w:pPr>
    </w:p>
    <w:p>
      <w:pPr>
        <w:pStyle w:val="12"/>
        <w:widowControl/>
        <w:spacing w:line="240" w:lineRule="exact"/>
        <w:ind w:left="5"/>
        <w:rPr>
          <w:sz w:val="20"/>
          <w:szCs w:val="20"/>
        </w:rPr>
      </w:pPr>
    </w:p>
    <w:p>
      <w:pPr>
        <w:pStyle w:val="12"/>
        <w:widowControl/>
        <w:spacing w:before="91"/>
        <w:ind w:left="5"/>
        <w:rPr>
          <w:rStyle w:val="9"/>
          <w:lang w:val="zh-CN"/>
        </w:rPr>
      </w:pPr>
      <w:r>
        <w:rPr>
          <w:rStyle w:val="9"/>
          <w:rFonts w:hint="eastAsia"/>
          <w:lang w:val="zh-CN"/>
        </w:rPr>
        <w:t>第三部分</w:t>
      </w:r>
      <w:r>
        <w:rPr>
          <w:rStyle w:val="8"/>
          <w:rFonts w:hint="eastAsia"/>
          <w:lang w:val="zh-CN"/>
        </w:rPr>
        <w:t>2015</w:t>
      </w:r>
      <w:r>
        <w:rPr>
          <w:rStyle w:val="9"/>
          <w:rFonts w:hint="eastAsia"/>
          <w:lang w:val="zh-CN"/>
        </w:rPr>
        <w:t>年大埔县委政法委部门决算情况说明</w:t>
      </w:r>
    </w:p>
    <w:p>
      <w:pPr>
        <w:rPr>
          <w:rStyle w:val="7"/>
          <w:sz w:val="32"/>
          <w:szCs w:val="32"/>
          <w:lang w:val="zh-CN"/>
        </w:rPr>
      </w:pPr>
    </w:p>
    <w:p>
      <w:pPr>
        <w:rPr>
          <w:rStyle w:val="7"/>
          <w:sz w:val="32"/>
          <w:szCs w:val="32"/>
          <w:lang w:val="zh-CN"/>
        </w:rPr>
      </w:pPr>
      <w:r>
        <w:rPr>
          <w:rStyle w:val="7"/>
          <w:rFonts w:hint="eastAsia"/>
          <w:sz w:val="32"/>
          <w:szCs w:val="32"/>
          <w:lang w:val="zh-CN"/>
        </w:rPr>
        <w:t>第四部分 名词解释</w:t>
      </w:r>
    </w:p>
    <w:p>
      <w:pPr>
        <w:pStyle w:val="15"/>
        <w:widowControl/>
        <w:ind w:left="653" w:right="672"/>
        <w:rPr>
          <w:rStyle w:val="9"/>
          <w:lang w:val="zh-CN"/>
        </w:rPr>
      </w:pPr>
    </w:p>
    <w:p>
      <w:pPr>
        <w:pStyle w:val="15"/>
        <w:widowControl/>
        <w:ind w:left="653" w:right="672"/>
        <w:rPr>
          <w:rStyle w:val="9"/>
          <w:lang w:val="zh-CN"/>
        </w:rPr>
      </w:pPr>
      <w:r>
        <w:rPr>
          <w:rStyle w:val="9"/>
          <w:rFonts w:hint="eastAsia"/>
          <w:lang w:val="zh-CN"/>
        </w:rPr>
        <w:t>第一部分</w:t>
      </w:r>
      <w:r>
        <w:rPr>
          <w:rStyle w:val="8"/>
          <w:rFonts w:hint="eastAsia"/>
          <w:lang w:val="zh-CN"/>
        </w:rPr>
        <w:t>2015</w:t>
      </w:r>
      <w:r>
        <w:rPr>
          <w:rStyle w:val="9"/>
          <w:rFonts w:hint="eastAsia"/>
          <w:lang w:val="zh-CN"/>
        </w:rPr>
        <w:t>年大埔县委政法委基本情况</w:t>
      </w:r>
    </w:p>
    <w:p>
      <w:pPr>
        <w:pStyle w:val="15"/>
        <w:widowControl/>
        <w:numPr>
          <w:ilvl w:val="0"/>
          <w:numId w:val="5"/>
        </w:numPr>
        <w:ind w:right="672"/>
        <w:rPr>
          <w:rStyle w:val="7"/>
          <w:lang w:val="zh-CN"/>
        </w:rPr>
      </w:pPr>
      <w:r>
        <w:rPr>
          <w:rStyle w:val="7"/>
          <w:rFonts w:hint="eastAsia"/>
          <w:lang w:val="zh-CN"/>
        </w:rPr>
        <w:t>部门职责</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(1)贯彻执行党的路线、方针、政策以及县委的有关决策和部署，统一政法部门的思想和行动。</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(2)研究处理政法工作的重大问题并及时向县委提出建议;对一定时期的政法工作做出全局性部署并检查落实。</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(3)维护政法部门依法独立行使职权;依法组织开展执法监督和指导;组织研究和讨论有争议的重大、疑难案件。</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(4)研究和指导全县政法队伍建设，组织调查和协助处理抗法的重大事件，确保政法部门正常开展工作。</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(5)组织、协调、指导全县维护社会稳定工作、社会管理综合治理工作、防范与处理邪教工作等。调查掌握社会管理综合治理方面的新情况、新问题;制订并检查落实社会管理综合治理的重大措施。</w:t>
      </w:r>
    </w:p>
    <w:p>
      <w:pPr>
        <w:widowControl/>
        <w:spacing w:before="100" w:beforeAutospacing="1" w:after="100" w:afterAutospacing="1"/>
        <w:ind w:left="931"/>
        <w:jc w:val="left"/>
        <w:rPr>
          <w:rStyle w:val="7"/>
          <w:lang w:val="zh-CN"/>
        </w:rPr>
      </w:pPr>
      <w:r>
        <w:rPr>
          <w:rFonts w:hint="eastAsia" w:ascii="仿宋_GB2312" w:hAnsi="宋体" w:eastAsia="仿宋_GB2312" w:cs="宋体"/>
          <w:kern w:val="0"/>
          <w:sz w:val="32"/>
          <w:szCs w:val="32"/>
        </w:rPr>
        <w:t>(6)承办县委和市委政法委、维稳办、综治办及防范办交办的其他事项。</w:t>
      </w:r>
    </w:p>
    <w:p>
      <w:pPr>
        <w:widowControl/>
        <w:spacing w:before="100" w:beforeAutospacing="1" w:after="100" w:afterAutospacing="1"/>
        <w:ind w:left="931"/>
        <w:jc w:val="left"/>
        <w:rPr>
          <w:rStyle w:val="7"/>
          <w:rFonts w:ascii="仿宋_GB2312" w:hAnsi="宋体" w:eastAsia="仿宋_GB2312"/>
          <w:b w:val="0"/>
          <w:bCs w:val="0"/>
          <w:spacing w:val="0"/>
          <w:kern w:val="0"/>
          <w:sz w:val="32"/>
          <w:szCs w:val="32"/>
        </w:rPr>
      </w:pPr>
      <w:r>
        <w:rPr>
          <w:rStyle w:val="13"/>
          <w:rFonts w:hint="eastAsia"/>
          <w:spacing w:val="40"/>
          <w:lang w:val="zh-CN"/>
        </w:rPr>
        <w:t>二、</w:t>
      </w:r>
      <w:r>
        <w:rPr>
          <w:rStyle w:val="7"/>
          <w:rFonts w:hint="eastAsia"/>
          <w:lang w:val="zh-CN"/>
        </w:rPr>
        <w:t>机构设置</w:t>
      </w:r>
    </w:p>
    <w:p>
      <w:pPr>
        <w:ind w:left="90" w:leftChars="43" w:firstLine="800" w:firstLineChars="250"/>
        <w:rPr>
          <w:rFonts w:ascii="仿宋_GB2312" w:eastAsia="仿宋_GB2312"/>
          <w:sz w:val="32"/>
          <w:szCs w:val="32"/>
        </w:rPr>
      </w:pPr>
      <w:r>
        <w:rPr>
          <w:rFonts w:hint="eastAsia" w:ascii="仿宋_GB2312" w:hAnsi="宋体" w:eastAsia="仿宋_GB2312" w:cs="宋体"/>
          <w:kern w:val="0"/>
          <w:sz w:val="32"/>
          <w:szCs w:val="32"/>
        </w:rPr>
        <w:t>按“三定”方案，县委政法委与县综治办、维稳办、防范办合署办公，其中县委政法委内设有三个科室。2015年度</w:t>
      </w:r>
      <w:r>
        <w:rPr>
          <w:rFonts w:hint="eastAsia" w:ascii="宋体" w:hAnsi="宋体"/>
          <w:sz w:val="28"/>
          <w:szCs w:val="28"/>
        </w:rPr>
        <w:t>本机关共有</w:t>
      </w:r>
      <w:r>
        <w:rPr>
          <w:rFonts w:hint="eastAsia" w:ascii="仿宋_GB2312" w:eastAsia="仿宋_GB2312"/>
          <w:sz w:val="32"/>
          <w:szCs w:val="32"/>
        </w:rPr>
        <w:t>编制数18人，其中行政编制数15人，机关工勤编制数3人。年末实有在职人数19人，退休人员4人，离休人员2人。</w:t>
      </w:r>
    </w:p>
    <w:p>
      <w:pPr>
        <w:ind w:left="796" w:leftChars="379"/>
        <w:rPr>
          <w:rFonts w:ascii="宋体" w:hAnsi="宋体"/>
          <w:b/>
          <w:sz w:val="28"/>
          <w:szCs w:val="28"/>
        </w:rPr>
      </w:pPr>
    </w:p>
    <w:p>
      <w:pPr>
        <w:rPr>
          <w:rStyle w:val="7"/>
          <w:spacing w:val="-10"/>
          <w:position w:val="-4"/>
        </w:rPr>
        <w:sectPr>
          <w:pgSz w:w="11906" w:h="16838"/>
          <w:pgMar w:top="1440" w:right="1800" w:bottom="1440" w:left="1800" w:header="851" w:footer="992" w:gutter="0"/>
          <w:cols w:space="425" w:num="1"/>
          <w:docGrid w:type="lines" w:linePitch="312" w:charSpace="0"/>
        </w:sectPr>
      </w:pPr>
    </w:p>
    <w:tbl>
      <w:tblPr>
        <w:tblStyle w:val="5"/>
        <w:tblW w:w="9231" w:type="dxa"/>
        <w:tblInd w:w="93" w:type="dxa"/>
        <w:tblLayout w:type="autofit"/>
        <w:tblCellMar>
          <w:top w:w="0" w:type="dxa"/>
          <w:left w:w="108" w:type="dxa"/>
          <w:bottom w:w="0" w:type="dxa"/>
          <w:right w:w="108" w:type="dxa"/>
        </w:tblCellMar>
      </w:tblPr>
      <w:tblGrid>
        <w:gridCol w:w="3149"/>
        <w:gridCol w:w="529"/>
        <w:gridCol w:w="923"/>
        <w:gridCol w:w="2743"/>
        <w:gridCol w:w="326"/>
        <w:gridCol w:w="436"/>
        <w:gridCol w:w="1267"/>
      </w:tblGrid>
      <w:tr>
        <w:tblPrEx>
          <w:tblCellMar>
            <w:top w:w="0" w:type="dxa"/>
            <w:left w:w="108" w:type="dxa"/>
            <w:bottom w:w="0" w:type="dxa"/>
            <w:right w:w="108" w:type="dxa"/>
          </w:tblCellMar>
        </w:tblPrEx>
        <w:trPr>
          <w:trHeight w:val="360" w:hRule="atLeast"/>
        </w:trPr>
        <w:tc>
          <w:tcPr>
            <w:tcW w:w="9231" w:type="dxa"/>
            <w:gridSpan w:val="7"/>
            <w:tcBorders>
              <w:top w:val="nil"/>
              <w:left w:val="nil"/>
              <w:bottom w:val="nil"/>
              <w:right w:val="nil"/>
            </w:tcBorders>
            <w:shd w:val="clear" w:color="auto" w:fill="auto"/>
            <w:noWrap/>
            <w:vAlign w:val="center"/>
          </w:tcPr>
          <w:p>
            <w:pPr>
              <w:widowControl/>
              <w:ind w:firstLine="800" w:firstLineChars="25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第二部分  2015年大埔县委政法委部门决算表</w:t>
            </w: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一、收入支出决算总表</w:t>
            </w:r>
          </w:p>
        </w:tc>
      </w:tr>
      <w:tr>
        <w:tblPrEx>
          <w:tblCellMar>
            <w:top w:w="0" w:type="dxa"/>
            <w:left w:w="108" w:type="dxa"/>
            <w:bottom w:w="0" w:type="dxa"/>
            <w:right w:w="108" w:type="dxa"/>
          </w:tblCellMar>
        </w:tblPrEx>
        <w:trPr>
          <w:trHeight w:val="199" w:hRule="atLeast"/>
        </w:trPr>
        <w:tc>
          <w:tcPr>
            <w:tcW w:w="31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314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部门：大埔县委政法委</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601"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4630" w:type="dxa"/>
            <w:gridSpan w:val="4"/>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一、财政拨款收入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336.74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二、上级补助收入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三、事业收入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四、经营收入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296.20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五、附属单位上缴收入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五、社会保障和就业支出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35.97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六、其他收入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21.76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六、医疗卫生与计划生育支出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4.57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七、其他支出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21.76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358.49　</w:t>
            </w:r>
          </w:p>
        </w:tc>
        <w:tc>
          <w:tcPr>
            <w:tcW w:w="3069" w:type="dxa"/>
            <w:gridSpan w:val="2"/>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358.49</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用事业基金弥补收支差额</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23"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67" w:type="dxa"/>
            <w:tcBorders>
              <w:top w:val="nil"/>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23" w:type="dxa"/>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358.49　</w:t>
            </w:r>
          </w:p>
        </w:tc>
        <w:tc>
          <w:tcPr>
            <w:tcW w:w="3069" w:type="dxa"/>
            <w:gridSpan w:val="2"/>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67" w:type="dxa"/>
            <w:tcBorders>
              <w:top w:val="single" w:color="auto" w:sz="4"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358.49</w:t>
            </w:r>
          </w:p>
        </w:tc>
      </w:tr>
      <w:tr>
        <w:tblPrEx>
          <w:tblCellMar>
            <w:top w:w="0" w:type="dxa"/>
            <w:left w:w="108" w:type="dxa"/>
            <w:bottom w:w="0" w:type="dxa"/>
            <w:right w:w="108" w:type="dxa"/>
          </w:tblCellMar>
        </w:tblPrEx>
        <w:trPr>
          <w:trHeight w:val="585" w:hRule="atLeast"/>
        </w:trPr>
        <w:tc>
          <w:tcPr>
            <w:tcW w:w="9231" w:type="dxa"/>
            <w:gridSpan w:val="7"/>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注：本表反映部门本年度的总收支和年末结转结余情况。</w:t>
            </w:r>
          </w:p>
        </w:tc>
      </w:tr>
    </w:tbl>
    <w:p>
      <w:pPr>
        <w:rPr>
          <w:rStyle w:val="7"/>
          <w:spacing w:val="-10"/>
          <w:position w:val="-4"/>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sectPr>
          <w:pgSz w:w="11906" w:h="16838"/>
          <w:pgMar w:top="1440" w:right="1800" w:bottom="1440" w:left="1800" w:header="851" w:footer="992" w:gutter="0"/>
          <w:cols w:space="425" w:num="1"/>
          <w:docGrid w:type="lines" w:linePitch="312" w:charSpace="0"/>
        </w:sectPr>
      </w:pPr>
    </w:p>
    <w:tbl>
      <w:tblPr>
        <w:tblStyle w:val="5"/>
        <w:tblW w:w="14761" w:type="dxa"/>
        <w:tblInd w:w="93" w:type="dxa"/>
        <w:tblLayout w:type="autofit"/>
        <w:tblCellMar>
          <w:top w:w="0" w:type="dxa"/>
          <w:left w:w="108" w:type="dxa"/>
          <w:bottom w:w="0" w:type="dxa"/>
          <w:right w:w="108" w:type="dxa"/>
        </w:tblCellMar>
      </w:tblPr>
      <w:tblGrid>
        <w:gridCol w:w="315"/>
        <w:gridCol w:w="315"/>
        <w:gridCol w:w="412"/>
        <w:gridCol w:w="107"/>
        <w:gridCol w:w="115"/>
        <w:gridCol w:w="14"/>
        <w:gridCol w:w="2139"/>
        <w:gridCol w:w="936"/>
        <w:gridCol w:w="676"/>
        <w:gridCol w:w="1003"/>
        <w:gridCol w:w="245"/>
        <w:gridCol w:w="1114"/>
        <w:gridCol w:w="320"/>
        <w:gridCol w:w="1356"/>
        <w:gridCol w:w="323"/>
        <w:gridCol w:w="997"/>
        <w:gridCol w:w="682"/>
        <w:gridCol w:w="1586"/>
        <w:gridCol w:w="1560"/>
        <w:gridCol w:w="546"/>
      </w:tblGrid>
      <w:tr>
        <w:tblPrEx>
          <w:tblCellMar>
            <w:top w:w="0" w:type="dxa"/>
            <w:left w:w="108" w:type="dxa"/>
            <w:bottom w:w="0" w:type="dxa"/>
            <w:right w:w="108" w:type="dxa"/>
          </w:tblCellMar>
        </w:tblPrEx>
        <w:trPr>
          <w:trHeight w:val="435" w:hRule="atLeast"/>
        </w:trPr>
        <w:tc>
          <w:tcPr>
            <w:tcW w:w="14761"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trHeight w:val="285" w:hRule="atLeast"/>
        </w:trPr>
        <w:tc>
          <w:tcPr>
            <w:tcW w:w="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8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63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78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1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3417" w:type="dxa"/>
            <w:gridSpan w:val="7"/>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12"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本年收入合计</w:t>
            </w:r>
          </w:p>
        </w:tc>
        <w:tc>
          <w:tcPr>
            <w:tcW w:w="1248" w:type="dxa"/>
            <w:gridSpan w:val="2"/>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财政拨款收入</w:t>
            </w:r>
          </w:p>
        </w:tc>
        <w:tc>
          <w:tcPr>
            <w:tcW w:w="1114"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上级补助收入</w:t>
            </w:r>
          </w:p>
        </w:tc>
        <w:tc>
          <w:tcPr>
            <w:tcW w:w="16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事业收入</w:t>
            </w:r>
          </w:p>
        </w:tc>
        <w:tc>
          <w:tcPr>
            <w:tcW w:w="1320"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经营收入</w:t>
            </w:r>
          </w:p>
        </w:tc>
        <w:tc>
          <w:tcPr>
            <w:tcW w:w="2268"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附属单位上缴收入</w:t>
            </w:r>
          </w:p>
        </w:tc>
        <w:tc>
          <w:tcPr>
            <w:tcW w:w="2106"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其他收入</w:t>
            </w:r>
          </w:p>
        </w:tc>
      </w:tr>
      <w:tr>
        <w:tblPrEx>
          <w:tblCellMar>
            <w:top w:w="0" w:type="dxa"/>
            <w:left w:w="108" w:type="dxa"/>
            <w:bottom w:w="0" w:type="dxa"/>
            <w:right w:w="108" w:type="dxa"/>
          </w:tblCellMar>
        </w:tblPrEx>
        <w:trPr>
          <w:trHeight w:val="312" w:hRule="atLeast"/>
        </w:trPr>
        <w:tc>
          <w:tcPr>
            <w:tcW w:w="1042" w:type="dxa"/>
            <w:gridSpan w:val="3"/>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75" w:type="dxa"/>
            <w:gridSpan w:val="4"/>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12"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4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1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26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0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042" w:type="dxa"/>
            <w:gridSpan w:val="3"/>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375"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12"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4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1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26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0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3417" w:type="dxa"/>
            <w:gridSpan w:val="7"/>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1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4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2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106"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CellMar>
            <w:top w:w="0" w:type="dxa"/>
            <w:left w:w="108" w:type="dxa"/>
            <w:bottom w:w="0" w:type="dxa"/>
            <w:right w:w="108" w:type="dxa"/>
          </w:tblCellMar>
        </w:tblPrEx>
        <w:trPr>
          <w:trHeight w:val="450" w:hRule="atLeast"/>
        </w:trPr>
        <w:tc>
          <w:tcPr>
            <w:tcW w:w="3417" w:type="dxa"/>
            <w:gridSpan w:val="7"/>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358.49</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336.74</w:t>
            </w:r>
          </w:p>
        </w:tc>
        <w:tc>
          <w:tcPr>
            <w:tcW w:w="11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21.76</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2040201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222.20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222.20</w:t>
            </w:r>
          </w:p>
        </w:tc>
        <w:tc>
          <w:tcPr>
            <w:tcW w:w="1114" w:type="dxa"/>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2049901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其他共公安全支出 　</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74.00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74.00</w:t>
            </w:r>
          </w:p>
        </w:tc>
        <w:tc>
          <w:tcPr>
            <w:tcW w:w="1114" w:type="dxa"/>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2080501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归口管理的行政单位离退休</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35.97</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35.97</w:t>
            </w:r>
          </w:p>
        </w:tc>
        <w:tc>
          <w:tcPr>
            <w:tcW w:w="1114" w:type="dxa"/>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2100501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行政单位医疗　</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4.57</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4.57</w:t>
            </w:r>
          </w:p>
        </w:tc>
        <w:tc>
          <w:tcPr>
            <w:tcW w:w="1114" w:type="dxa"/>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2299901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其他支出</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21.76</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114" w:type="dxa"/>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21.76</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114" w:type="dxa"/>
            <w:tcBorders>
              <w:top w:val="nil"/>
              <w:left w:val="nil"/>
              <w:bottom w:val="single" w:color="auto" w:sz="4" w:space="0"/>
              <w:right w:val="single" w:color="auto" w:sz="4" w:space="0"/>
            </w:tcBorders>
            <w:shd w:val="clear" w:color="auto" w:fill="auto"/>
            <w:noWrap/>
          </w:tcPr>
          <w:p>
            <w:pPr>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tcPr>
          <w:p>
            <w:pPr>
              <w:rPr>
                <w:rFonts w:ascii="宋体" w:hAnsi="宋体" w:eastAsia="宋体" w:cs="宋体"/>
                <w:kern w:val="0"/>
                <w:sz w:val="24"/>
                <w:szCs w:val="24"/>
              </w:rPr>
            </w:pPr>
          </w:p>
        </w:tc>
        <w:tc>
          <w:tcPr>
            <w:tcW w:w="1320" w:type="dxa"/>
            <w:gridSpan w:val="2"/>
            <w:tcBorders>
              <w:top w:val="nil"/>
              <w:left w:val="nil"/>
              <w:bottom w:val="single" w:color="auto" w:sz="4" w:space="0"/>
              <w:right w:val="single" w:color="auto" w:sz="4" w:space="0"/>
            </w:tcBorders>
            <w:shd w:val="clear" w:color="auto" w:fill="auto"/>
            <w:noWrap/>
          </w:tcPr>
          <w:p>
            <w:pPr>
              <w:rPr>
                <w:rFonts w:ascii="宋体" w:hAnsi="宋体" w:eastAsia="宋体" w:cs="宋体"/>
                <w:kern w:val="0"/>
                <w:sz w:val="24"/>
                <w:szCs w:val="24"/>
              </w:rPr>
            </w:pPr>
          </w:p>
        </w:tc>
        <w:tc>
          <w:tcPr>
            <w:tcW w:w="2268" w:type="dxa"/>
            <w:gridSpan w:val="2"/>
            <w:tcBorders>
              <w:top w:val="nil"/>
              <w:left w:val="nil"/>
              <w:bottom w:val="single" w:color="auto" w:sz="4" w:space="0"/>
              <w:right w:val="single" w:color="auto" w:sz="4" w:space="0"/>
            </w:tcBorders>
            <w:shd w:val="clear" w:color="auto" w:fill="auto"/>
            <w:noWrap/>
          </w:tcPr>
          <w:p>
            <w:pPr>
              <w:rPr>
                <w:rFonts w:ascii="宋体" w:hAnsi="宋体" w:eastAsia="宋体" w:cs="宋体"/>
                <w:kern w:val="0"/>
                <w:sz w:val="24"/>
                <w:szCs w:val="24"/>
              </w:rPr>
            </w:pPr>
          </w:p>
        </w:tc>
        <w:tc>
          <w:tcPr>
            <w:tcW w:w="2106"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15" w:hRule="atLeast"/>
        </w:trPr>
        <w:tc>
          <w:tcPr>
            <w:tcW w:w="14761" w:type="dxa"/>
            <w:gridSpan w:val="2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15" w:hRule="atLeast"/>
        </w:trPr>
        <w:tc>
          <w:tcPr>
            <w:tcW w:w="14761" w:type="dxa"/>
            <w:gridSpan w:val="20"/>
            <w:tcBorders>
              <w:top w:val="single" w:color="auto" w:sz="8" w:space="0"/>
              <w:left w:val="nil"/>
              <w:bottom w:val="nil"/>
              <w:right w:val="nil"/>
            </w:tcBorders>
            <w:shd w:val="clear" w:color="auto" w:fill="auto"/>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支出决算表</w:t>
            </w:r>
          </w:p>
        </w:tc>
      </w:tr>
      <w:tr>
        <w:tblPrEx>
          <w:tblCellMar>
            <w:top w:w="0" w:type="dxa"/>
            <w:left w:w="108" w:type="dxa"/>
            <w:bottom w:w="0" w:type="dxa"/>
            <w:right w:w="108" w:type="dxa"/>
          </w:tblCellMar>
        </w:tblPrEx>
        <w:trPr>
          <w:gridAfter w:val="1"/>
          <w:wAfter w:w="546" w:type="dxa"/>
          <w:trHeight w:val="285" w:hRule="atLeast"/>
        </w:trPr>
        <w:tc>
          <w:tcPr>
            <w:tcW w:w="10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546" w:type="dxa"/>
          <w:trHeight w:val="300" w:hRule="atLeast"/>
        </w:trPr>
        <w:tc>
          <w:tcPr>
            <w:tcW w:w="10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36"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2139"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9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46" w:type="dxa"/>
          <w:trHeight w:val="345" w:hRule="atLeast"/>
        </w:trPr>
        <w:tc>
          <w:tcPr>
            <w:tcW w:w="3417" w:type="dxa"/>
            <w:gridSpan w:val="7"/>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3"/>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146"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546" w:type="dxa"/>
          <w:trHeight w:val="345" w:hRule="atLeast"/>
        </w:trPr>
        <w:tc>
          <w:tcPr>
            <w:tcW w:w="1264" w:type="dxa"/>
            <w:gridSpan w:val="5"/>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5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93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14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46" w:type="dxa"/>
          <w:trHeight w:val="345" w:hRule="atLeast"/>
        </w:trPr>
        <w:tc>
          <w:tcPr>
            <w:tcW w:w="1264" w:type="dxa"/>
            <w:gridSpan w:val="5"/>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1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93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14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46" w:type="dxa"/>
          <w:trHeight w:val="345" w:hRule="atLeast"/>
        </w:trPr>
        <w:tc>
          <w:tcPr>
            <w:tcW w:w="3417" w:type="dxa"/>
            <w:gridSpan w:val="7"/>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146"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546" w:type="dxa"/>
          <w:trHeight w:val="345" w:hRule="atLeast"/>
        </w:trPr>
        <w:tc>
          <w:tcPr>
            <w:tcW w:w="3417" w:type="dxa"/>
            <w:gridSpan w:val="7"/>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358.49</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284.49</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74.00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2040201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222.20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222.20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2049901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其他共公安全支出 　</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74.00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74.00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2080501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归口管理的行政单位离退休</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35.97</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35.97</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2100501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行政单位医疗　</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4.57</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4.57</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2299901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其他支出</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21.76</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21.76</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53" w:type="dxa"/>
            <w:gridSpan w:val="2"/>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jc w:val="left"/>
              <w:rPr>
                <w:rFonts w:ascii="宋体" w:hAnsi="宋体" w:eastAsia="宋体" w:cs="宋体"/>
                <w:kern w:val="0"/>
                <w:sz w:val="24"/>
                <w:szCs w:val="24"/>
              </w:rPr>
            </w:pPr>
          </w:p>
        </w:tc>
        <w:tc>
          <w:tcPr>
            <w:tcW w:w="936" w:type="dxa"/>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46" w:type="dxa"/>
          <w:trHeight w:val="630" w:hRule="atLeast"/>
        </w:trPr>
        <w:tc>
          <w:tcPr>
            <w:tcW w:w="14215" w:type="dxa"/>
            <w:gridSpan w:val="1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rPr>
          <w:rStyle w:val="7"/>
          <w:spacing w:val="-10"/>
          <w:position w:val="-4"/>
          <w:lang w:val="zh-CN"/>
        </w:rPr>
      </w:pPr>
    </w:p>
    <w:tbl>
      <w:tblPr>
        <w:tblStyle w:val="5"/>
        <w:tblW w:w="14773" w:type="dxa"/>
        <w:tblInd w:w="93" w:type="dxa"/>
        <w:tblLayout w:type="autofit"/>
        <w:tblCellMar>
          <w:top w:w="0" w:type="dxa"/>
          <w:left w:w="108" w:type="dxa"/>
          <w:bottom w:w="0" w:type="dxa"/>
          <w:right w:w="108" w:type="dxa"/>
        </w:tblCellMar>
      </w:tblPr>
      <w:tblGrid>
        <w:gridCol w:w="3559"/>
        <w:gridCol w:w="436"/>
        <w:gridCol w:w="965"/>
        <w:gridCol w:w="638"/>
        <w:gridCol w:w="236"/>
        <w:gridCol w:w="2261"/>
        <w:gridCol w:w="567"/>
        <w:gridCol w:w="1119"/>
        <w:gridCol w:w="638"/>
        <w:gridCol w:w="766"/>
        <w:gridCol w:w="1431"/>
        <w:gridCol w:w="2157"/>
      </w:tblGrid>
      <w:tr>
        <w:tblPrEx>
          <w:tblCellMar>
            <w:top w:w="0" w:type="dxa"/>
            <w:left w:w="108" w:type="dxa"/>
            <w:bottom w:w="0" w:type="dxa"/>
            <w:right w:w="108" w:type="dxa"/>
          </w:tblCellMar>
        </w:tblPrEx>
        <w:trPr>
          <w:trHeight w:val="360" w:hRule="atLeast"/>
        </w:trPr>
        <w:tc>
          <w:tcPr>
            <w:tcW w:w="14773" w:type="dxa"/>
            <w:gridSpan w:val="1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496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96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部门：大埔县委政法委</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4960"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13" w:type="dxa"/>
            <w:gridSpan w:val="9"/>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52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2157"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5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336.74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296.20</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296.20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五、社会保障和就业支出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35.97</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35.97</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六、医疗卫生与计划生育支出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4.57</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4.57</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336.74　</w:t>
            </w:r>
          </w:p>
        </w:tc>
        <w:tc>
          <w:tcPr>
            <w:tcW w:w="3135" w:type="dxa"/>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336.74</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336.74　</w:t>
            </w:r>
          </w:p>
        </w:tc>
        <w:tc>
          <w:tcPr>
            <w:tcW w:w="215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年末结转和结余</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65"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252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single" w:color="auto" w:sz="4" w:space="0"/>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65" w:type="dxa"/>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5" w:type="dxa"/>
            <w:gridSpan w:val="3"/>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2523" w:type="dxa"/>
            <w:gridSpan w:val="3"/>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single" w:color="auto" w:sz="4" w:space="0"/>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965" w:type="dxa"/>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336.74　</w:t>
            </w:r>
          </w:p>
        </w:tc>
        <w:tc>
          <w:tcPr>
            <w:tcW w:w="3135" w:type="dxa"/>
            <w:gridSpan w:val="3"/>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2523" w:type="dxa"/>
            <w:gridSpan w:val="3"/>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8"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single" w:color="auto" w:sz="4"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4773"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注：本表反映部门本年度一般公共预算财政拨款和政府性基金预算财政拨款的总收支和年末结转结余情况。</w:t>
            </w:r>
          </w:p>
        </w:tc>
      </w:tr>
    </w:tbl>
    <w:p>
      <w:pPr>
        <w:rPr>
          <w:rStyle w:val="7"/>
          <w:spacing w:val="-10"/>
          <w:position w:val="-4"/>
        </w:rPr>
      </w:pPr>
    </w:p>
    <w:tbl>
      <w:tblPr>
        <w:tblStyle w:val="5"/>
        <w:tblW w:w="14120" w:type="dxa"/>
        <w:tblInd w:w="93" w:type="dxa"/>
        <w:tblLayout w:type="autofit"/>
        <w:tblCellMar>
          <w:top w:w="0" w:type="dxa"/>
          <w:left w:w="108" w:type="dxa"/>
          <w:bottom w:w="0" w:type="dxa"/>
          <w:right w:w="108" w:type="dxa"/>
        </w:tblCellMar>
      </w:tblPr>
      <w:tblGrid>
        <w:gridCol w:w="560"/>
        <w:gridCol w:w="560"/>
        <w:gridCol w:w="3148"/>
        <w:gridCol w:w="3402"/>
        <w:gridCol w:w="3402"/>
        <w:gridCol w:w="3048"/>
      </w:tblGrid>
      <w:tr>
        <w:tblPrEx>
          <w:tblCellMar>
            <w:top w:w="0" w:type="dxa"/>
            <w:left w:w="108" w:type="dxa"/>
            <w:bottom w:w="0" w:type="dxa"/>
            <w:right w:w="108" w:type="dxa"/>
          </w:tblCellMar>
        </w:tblPrEx>
        <w:trPr>
          <w:trHeight w:val="600" w:hRule="atLeast"/>
        </w:trPr>
        <w:tc>
          <w:tcPr>
            <w:tcW w:w="1412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0" w:name="RANGE!A1:F16"/>
            <w:r>
              <w:rPr>
                <w:rFonts w:hint="eastAsia" w:ascii="华文中宋" w:hAnsi="华文中宋" w:eastAsia="华文中宋" w:cs="宋体"/>
                <w:kern w:val="0"/>
                <w:sz w:val="32"/>
                <w:szCs w:val="32"/>
              </w:rPr>
              <w:t>一般公共预算财政拨款支出决算表</w:t>
            </w:r>
            <w:bookmarkEnd w:id="0"/>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4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4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14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4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5" w:hRule="atLeast"/>
        </w:trPr>
        <w:tc>
          <w:tcPr>
            <w:tcW w:w="426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3402"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34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048"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34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4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4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4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4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4268"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345" w:hRule="atLeast"/>
        </w:trPr>
        <w:tc>
          <w:tcPr>
            <w:tcW w:w="4268"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336.74</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262.74</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2040201</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行政运行</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222.20</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222.20</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2049901</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其他公共安全支出</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74.00</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2080501</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归口管理的行政单位离退休</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35.97</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35.97</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2100501</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行政单位医疗</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4.57</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4.57</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8"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48"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402"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402"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trPr>
        <w:tc>
          <w:tcPr>
            <w:tcW w:w="1412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注：本表反映部门本年度一般公共预算财政拨款实际支出情况。</w:t>
            </w:r>
          </w:p>
        </w:tc>
      </w:tr>
    </w:tbl>
    <w:p>
      <w:pPr>
        <w:rPr>
          <w:rStyle w:val="7"/>
          <w:spacing w:val="-10"/>
          <w:position w:val="-4"/>
        </w:rPr>
      </w:pPr>
    </w:p>
    <w:p>
      <w:pPr>
        <w:rPr>
          <w:rStyle w:val="7"/>
          <w:spacing w:val="-10"/>
          <w:position w:val="-4"/>
          <w:lang w:val="zh-CN"/>
        </w:rPr>
      </w:pPr>
    </w:p>
    <w:p>
      <w:pPr>
        <w:rPr>
          <w:rStyle w:val="7"/>
          <w:spacing w:val="-10"/>
          <w:position w:val="-4"/>
          <w:lang w:val="zh-CN"/>
        </w:rPr>
      </w:pPr>
    </w:p>
    <w:tbl>
      <w:tblPr>
        <w:tblStyle w:val="5"/>
        <w:tblW w:w="14120" w:type="dxa"/>
        <w:tblInd w:w="93" w:type="dxa"/>
        <w:tblLayout w:type="autofit"/>
        <w:tblCellMar>
          <w:top w:w="0" w:type="dxa"/>
          <w:left w:w="108" w:type="dxa"/>
          <w:bottom w:w="0" w:type="dxa"/>
          <w:right w:w="108" w:type="dxa"/>
        </w:tblCellMar>
      </w:tblPr>
      <w:tblGrid>
        <w:gridCol w:w="560"/>
        <w:gridCol w:w="560"/>
        <w:gridCol w:w="738"/>
        <w:gridCol w:w="266"/>
        <w:gridCol w:w="1152"/>
        <w:gridCol w:w="2551"/>
        <w:gridCol w:w="453"/>
        <w:gridCol w:w="1532"/>
        <w:gridCol w:w="2388"/>
        <w:gridCol w:w="3920"/>
      </w:tblGrid>
      <w:tr>
        <w:tblPrEx>
          <w:tblCellMar>
            <w:top w:w="0" w:type="dxa"/>
            <w:left w:w="108" w:type="dxa"/>
            <w:bottom w:w="0" w:type="dxa"/>
            <w:right w:w="108" w:type="dxa"/>
          </w:tblCellMar>
        </w:tblPrEx>
        <w:trPr>
          <w:trHeight w:val="600" w:hRule="atLeast"/>
        </w:trPr>
        <w:tc>
          <w:tcPr>
            <w:tcW w:w="14120" w:type="dxa"/>
            <w:gridSpan w:val="10"/>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一般公共预算财政拨款基本支出决算表</w:t>
            </w:r>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6"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04"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156"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04"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3276" w:type="dxa"/>
            <w:gridSpan w:val="5"/>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3004" w:type="dxa"/>
            <w:gridSpan w:val="2"/>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39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人员经费</w:t>
            </w:r>
          </w:p>
        </w:tc>
        <w:tc>
          <w:tcPr>
            <w:tcW w:w="392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公用经费</w:t>
            </w:r>
          </w:p>
        </w:tc>
      </w:tr>
      <w:tr>
        <w:tblPrEx>
          <w:tblCellMar>
            <w:top w:w="0" w:type="dxa"/>
            <w:left w:w="108" w:type="dxa"/>
            <w:bottom w:w="0" w:type="dxa"/>
            <w:right w:w="108" w:type="dxa"/>
          </w:tblCellMar>
        </w:tblPrEx>
        <w:trPr>
          <w:trHeight w:val="360" w:hRule="atLeast"/>
        </w:trPr>
        <w:tc>
          <w:tcPr>
            <w:tcW w:w="1858"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经济分类科目编码</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00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858"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0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858"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0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3276" w:type="dxa"/>
            <w:gridSpan w:val="5"/>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0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50" w:hRule="atLeast"/>
        </w:trPr>
        <w:tc>
          <w:tcPr>
            <w:tcW w:w="5827" w:type="dxa"/>
            <w:gridSpan w:val="6"/>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262.74　</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221.04　</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41.69　</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301</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工资福利支出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178.01</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178.01</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30101</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基本工资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46.04</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46.04</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30102</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津贴补贴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94.47</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94.47</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30103</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奖金</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11.22</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11.22</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30104</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社会保障缴费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5.35</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5.35</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30199</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其他工资福利支出</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20.93</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20.93</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商品和服务支出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41.69</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41.69</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30201</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办公费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12.00</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12.00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30202</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印刷费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30203</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咨询费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0.50</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0.50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30204</w:t>
            </w:r>
          </w:p>
        </w:tc>
        <w:tc>
          <w:tcPr>
            <w:tcW w:w="37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手续费　</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0.19</w:t>
            </w:r>
          </w:p>
        </w:tc>
        <w:tc>
          <w:tcPr>
            <w:tcW w:w="2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0.19</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30205</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水费　</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0.12</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0.12</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30206</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电费</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2.50</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30207</w:t>
            </w:r>
          </w:p>
        </w:tc>
        <w:tc>
          <w:tcPr>
            <w:tcW w:w="370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邮电费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30211</w:t>
            </w:r>
          </w:p>
        </w:tc>
        <w:tc>
          <w:tcPr>
            <w:tcW w:w="37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差旅费</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2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30228</w:t>
            </w:r>
          </w:p>
        </w:tc>
        <w:tc>
          <w:tcPr>
            <w:tcW w:w="3703"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工会经费</w:t>
            </w:r>
          </w:p>
        </w:tc>
        <w:tc>
          <w:tcPr>
            <w:tcW w:w="1985" w:type="dxa"/>
            <w:gridSpan w:val="2"/>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6.50</w:t>
            </w:r>
          </w:p>
        </w:tc>
        <w:tc>
          <w:tcPr>
            <w:tcW w:w="2388"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6.50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30231</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公务用车运行维护费</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10.30</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10.30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30299</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其他商品和服务支出</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2.58</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2.58</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对个人和家庭的补助</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43.04</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43.04</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30301</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离休费</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16.40</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16.40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30302</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退休费</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19.57</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19.57</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30305</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生活补助</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2.50</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2124"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30307</w:t>
            </w:r>
          </w:p>
        </w:tc>
        <w:tc>
          <w:tcPr>
            <w:tcW w:w="3703"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医疗费</w:t>
            </w:r>
          </w:p>
        </w:tc>
        <w:tc>
          <w:tcPr>
            <w:tcW w:w="1985"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4.57</w:t>
            </w:r>
          </w:p>
        </w:tc>
        <w:tc>
          <w:tcPr>
            <w:tcW w:w="23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4.57</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645" w:hRule="atLeast"/>
        </w:trPr>
        <w:tc>
          <w:tcPr>
            <w:tcW w:w="14120" w:type="dxa"/>
            <w:gridSpan w:val="1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注：本表反映部门本年度一般公共预算财政拨款基本支出明细情况。</w:t>
            </w:r>
          </w:p>
        </w:tc>
      </w:tr>
    </w:tbl>
    <w:p>
      <w:pPr>
        <w:rPr>
          <w:rStyle w:val="7"/>
          <w:spacing w:val="-10"/>
          <w:position w:val="-4"/>
        </w:rPr>
      </w:pPr>
    </w:p>
    <w:p>
      <w:pPr>
        <w:rPr>
          <w:rStyle w:val="7"/>
          <w:spacing w:val="-10"/>
          <w:position w:val="-4"/>
          <w:lang w:val="zh-CN"/>
        </w:rPr>
      </w:pPr>
    </w:p>
    <w:p>
      <w:pPr>
        <w:rPr>
          <w:rStyle w:val="7"/>
          <w:spacing w:val="-10"/>
          <w:position w:val="-4"/>
          <w:lang w:val="zh-CN"/>
        </w:rPr>
      </w:pPr>
    </w:p>
    <w:tbl>
      <w:tblPr>
        <w:tblStyle w:val="5"/>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600" w:hRule="atLeast"/>
        </w:trPr>
        <w:tc>
          <w:tcPr>
            <w:tcW w:w="1464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1" w:name="RANGE!A1:L9"/>
            <w:r>
              <w:rPr>
                <w:rFonts w:hint="eastAsia" w:ascii="华文中宋" w:hAnsi="华文中宋" w:eastAsia="华文中宋" w:cs="宋体"/>
                <w:kern w:val="0"/>
                <w:sz w:val="32"/>
                <w:szCs w:val="32"/>
              </w:rPr>
              <w:t>一般公共预算财政拨款“三公”经费支出决算表</w:t>
            </w:r>
            <w:bookmarkEnd w:id="1"/>
          </w:p>
        </w:tc>
      </w:tr>
      <w:tr>
        <w:tblPrEx>
          <w:tblCellMar>
            <w:top w:w="0" w:type="dxa"/>
            <w:left w:w="108" w:type="dxa"/>
            <w:bottom w:w="0" w:type="dxa"/>
            <w:right w:w="108" w:type="dxa"/>
          </w:tblCellMar>
        </w:tblPrEx>
        <w:trPr>
          <w:trHeight w:val="222" w:hRule="atLeast"/>
        </w:trPr>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300" w:hRule="atLeast"/>
        </w:trPr>
        <w:tc>
          <w:tcPr>
            <w:tcW w:w="122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2015年度预算数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2015年度决算数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r>
      <w:tr>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25.30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0.00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10.30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15.00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13.90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0.00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13.90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0.00　</w:t>
            </w:r>
          </w:p>
        </w:tc>
        <w:tc>
          <w:tcPr>
            <w:tcW w:w="1220" w:type="dxa"/>
            <w:tcBorders>
              <w:top w:val="nil"/>
              <w:left w:val="nil"/>
              <w:bottom w:val="single" w:color="auto" w:sz="8"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10.30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3.60</w:t>
            </w:r>
          </w:p>
        </w:tc>
      </w:tr>
      <w:tr>
        <w:tblPrEx>
          <w:tblCellMar>
            <w:top w:w="0" w:type="dxa"/>
            <w:left w:w="108" w:type="dxa"/>
            <w:bottom w:w="0" w:type="dxa"/>
            <w:right w:w="108" w:type="dxa"/>
          </w:tblCellMar>
        </w:tblPrEx>
        <w:trPr>
          <w:trHeight w:val="900" w:hRule="atLeast"/>
        </w:trPr>
        <w:tc>
          <w:tcPr>
            <w:tcW w:w="1464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注：2015年度预算数为“三公”经费年初预算数，决算数是包括当年一般公共预算财政拨款和以前年度结转资金安排的实际支出。</w:t>
            </w:r>
          </w:p>
        </w:tc>
      </w:tr>
    </w:tbl>
    <w:p>
      <w:pPr>
        <w:rPr>
          <w:rStyle w:val="7"/>
          <w:spacing w:val="-10"/>
          <w:position w:val="-4"/>
        </w:rPr>
      </w:pPr>
    </w:p>
    <w:p>
      <w:pPr>
        <w:rPr>
          <w:rStyle w:val="7"/>
          <w:spacing w:val="-10"/>
          <w:position w:val="-4"/>
          <w:lang w:val="zh-CN"/>
        </w:rPr>
      </w:pPr>
    </w:p>
    <w:p>
      <w:pPr>
        <w:rPr>
          <w:rStyle w:val="7"/>
          <w:spacing w:val="-10"/>
          <w:position w:val="-4"/>
          <w:lang w:val="zh-CN"/>
        </w:rPr>
      </w:pPr>
    </w:p>
    <w:p>
      <w:pPr>
        <w:rPr>
          <w:rStyle w:val="7"/>
          <w:spacing w:val="-10"/>
          <w:position w:val="-4"/>
          <w:lang w:val="zh-CN"/>
        </w:rPr>
      </w:pPr>
    </w:p>
    <w:tbl>
      <w:tblPr>
        <w:tblStyle w:val="5"/>
        <w:tblW w:w="14440" w:type="dxa"/>
        <w:tblInd w:w="93" w:type="dxa"/>
        <w:tblLayout w:type="autofit"/>
        <w:tblCellMar>
          <w:top w:w="0" w:type="dxa"/>
          <w:left w:w="108" w:type="dxa"/>
          <w:bottom w:w="0" w:type="dxa"/>
          <w:right w:w="108" w:type="dxa"/>
        </w:tblCellMar>
      </w:tblPr>
      <w:tblGrid>
        <w:gridCol w:w="560"/>
        <w:gridCol w:w="560"/>
        <w:gridCol w:w="1320"/>
        <w:gridCol w:w="2000"/>
        <w:gridCol w:w="2000"/>
        <w:gridCol w:w="2000"/>
        <w:gridCol w:w="2000"/>
        <w:gridCol w:w="2000"/>
        <w:gridCol w:w="2000"/>
      </w:tblGrid>
      <w:tr>
        <w:tblPrEx>
          <w:tblCellMar>
            <w:top w:w="0" w:type="dxa"/>
            <w:left w:w="108" w:type="dxa"/>
            <w:bottom w:w="0" w:type="dxa"/>
            <w:right w:w="108" w:type="dxa"/>
          </w:tblCellMar>
        </w:tblPrEx>
        <w:trPr>
          <w:trHeight w:val="600" w:hRule="atLeast"/>
        </w:trPr>
        <w:tc>
          <w:tcPr>
            <w:tcW w:w="1444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2" w:name="RANGE!A1:I16"/>
            <w:r>
              <w:rPr>
                <w:rFonts w:hint="eastAsia" w:ascii="华文中宋" w:hAnsi="华文中宋" w:eastAsia="华文中宋" w:cs="宋体"/>
                <w:kern w:val="0"/>
                <w:sz w:val="32"/>
                <w:szCs w:val="32"/>
              </w:rPr>
              <w:t>政府性基金预算财政拨款收入支出决算表</w:t>
            </w:r>
            <w:bookmarkEnd w:id="2"/>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部门：政法</w:t>
            </w:r>
          </w:p>
        </w:tc>
        <w:tc>
          <w:tcPr>
            <w:tcW w:w="132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24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00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年初结转和结余</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w:t>
            </w:r>
          </w:p>
        </w:tc>
        <w:tc>
          <w:tcPr>
            <w:tcW w:w="6000" w:type="dxa"/>
            <w:gridSpan w:val="3"/>
            <w:tcBorders>
              <w:top w:val="single" w:color="auto" w:sz="8" w:space="0"/>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c>
          <w:tcPr>
            <w:tcW w:w="200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年末结转和结余</w:t>
            </w:r>
          </w:p>
        </w:tc>
      </w:tr>
      <w:tr>
        <w:tblPrEx>
          <w:tblCellMar>
            <w:top w:w="0" w:type="dxa"/>
            <w:left w:w="108" w:type="dxa"/>
            <w:bottom w:w="0" w:type="dxa"/>
            <w:right w:w="108" w:type="dxa"/>
          </w:tblCellMar>
        </w:tblPrEx>
        <w:trPr>
          <w:trHeight w:val="37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200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2440"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75" w:hRule="atLeast"/>
        </w:trPr>
        <w:tc>
          <w:tcPr>
            <w:tcW w:w="2440"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8"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645" w:hRule="atLeast"/>
        </w:trPr>
        <w:tc>
          <w:tcPr>
            <w:tcW w:w="1444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注：本表反映部门本年度政府性基金预算财政拨款收入支出及结转和结余情况。</w:t>
            </w:r>
          </w:p>
        </w:tc>
      </w:tr>
    </w:tbl>
    <w:p>
      <w:pPr>
        <w:rPr>
          <w:rStyle w:val="7"/>
          <w:spacing w:val="-10"/>
          <w:position w:val="-4"/>
          <w:lang w:val="zh-CN"/>
        </w:rPr>
        <w:sectPr>
          <w:pgSz w:w="16838" w:h="11906" w:orient="landscape"/>
          <w:pgMar w:top="1800" w:right="1440" w:bottom="1800" w:left="1440" w:header="851" w:footer="992" w:gutter="0"/>
          <w:cols w:space="425" w:num="1"/>
          <w:docGrid w:type="lines" w:linePitch="312" w:charSpace="0"/>
        </w:sectPr>
      </w:pPr>
    </w:p>
    <w:p>
      <w:pPr>
        <w:pStyle w:val="12"/>
        <w:widowControl/>
        <w:spacing w:line="1267" w:lineRule="exact"/>
        <w:jc w:val="center"/>
        <w:rPr>
          <w:rStyle w:val="9"/>
          <w:lang w:val="zh-CN"/>
        </w:rPr>
      </w:pPr>
      <w:r>
        <w:rPr>
          <w:rStyle w:val="9"/>
          <w:rFonts w:hint="eastAsia"/>
          <w:lang w:val="zh-CN"/>
        </w:rPr>
        <w:t>第三部分</w:t>
      </w:r>
      <w:r>
        <w:rPr>
          <w:rStyle w:val="8"/>
          <w:rFonts w:hint="eastAsia"/>
          <w:lang w:val="zh-CN"/>
        </w:rPr>
        <w:t>2015</w:t>
      </w:r>
      <w:r>
        <w:rPr>
          <w:rStyle w:val="9"/>
          <w:rFonts w:hint="eastAsia"/>
          <w:lang w:val="zh-CN"/>
        </w:rPr>
        <w:t>年大埔县委政法委部门决算情况说明</w:t>
      </w:r>
    </w:p>
    <w:p>
      <w:pPr>
        <w:pStyle w:val="12"/>
        <w:widowControl/>
        <w:spacing w:line="1267" w:lineRule="exact"/>
        <w:ind w:left="658"/>
        <w:rPr>
          <w:rStyle w:val="28"/>
          <w:lang w:val="zh-CN"/>
        </w:rPr>
      </w:pPr>
      <w:r>
        <w:rPr>
          <w:rStyle w:val="11"/>
          <w:rFonts w:hint="eastAsia"/>
          <w:lang w:val="zh-CN"/>
        </w:rPr>
        <w:t>一、</w:t>
      </w:r>
      <w:r>
        <w:rPr>
          <w:rStyle w:val="28"/>
          <w:rFonts w:hint="eastAsia"/>
          <w:lang w:val="zh-CN"/>
        </w:rPr>
        <w:t>收入总体情况</w:t>
      </w:r>
    </w:p>
    <w:p>
      <w:pPr>
        <w:pStyle w:val="22"/>
        <w:widowControl/>
        <w:spacing w:line="624" w:lineRule="exact"/>
        <w:ind w:firstLine="624"/>
        <w:rPr>
          <w:rStyle w:val="20"/>
          <w:lang w:val="zh-CN"/>
        </w:rPr>
      </w:pPr>
      <w:r>
        <w:rPr>
          <w:rStyle w:val="20"/>
          <w:rFonts w:hint="eastAsia"/>
          <w:lang w:val="zh-CN"/>
        </w:rPr>
        <w:t>2015</w:t>
      </w:r>
      <w:r>
        <w:rPr>
          <w:rStyle w:val="7"/>
          <w:rFonts w:hint="eastAsia"/>
          <w:lang w:val="zh-CN"/>
        </w:rPr>
        <w:t>年部门决算总收入</w:t>
      </w:r>
      <w:r>
        <w:rPr>
          <w:rStyle w:val="20"/>
          <w:rFonts w:hint="eastAsia"/>
          <w:lang w:val="zh-CN"/>
        </w:rPr>
        <w:t>358.49</w:t>
      </w:r>
      <w:r>
        <w:rPr>
          <w:rStyle w:val="7"/>
          <w:rFonts w:hint="eastAsia"/>
          <w:lang w:val="zh-CN"/>
        </w:rPr>
        <w:t>万元，比</w:t>
      </w:r>
      <w:r>
        <w:rPr>
          <w:rStyle w:val="20"/>
          <w:rFonts w:hint="eastAsia"/>
          <w:lang w:val="zh-CN"/>
        </w:rPr>
        <w:t>2014</w:t>
      </w:r>
      <w:r>
        <w:rPr>
          <w:rStyle w:val="7"/>
          <w:rFonts w:hint="eastAsia"/>
          <w:lang w:val="zh-CN"/>
        </w:rPr>
        <w:t>年部门决算总收入增加</w:t>
      </w:r>
      <w:r>
        <w:rPr>
          <w:rStyle w:val="20"/>
          <w:rFonts w:hint="eastAsia"/>
          <w:lang w:val="zh-CN"/>
        </w:rPr>
        <w:t>9.19</w:t>
      </w:r>
      <w:r>
        <w:rPr>
          <w:rStyle w:val="14"/>
          <w:rFonts w:hint="eastAsia"/>
          <w:lang w:val="zh-CN"/>
        </w:rPr>
        <w:t>万元，</w:t>
      </w:r>
      <w:r>
        <w:rPr>
          <w:rStyle w:val="7"/>
          <w:rFonts w:hint="eastAsia"/>
          <w:lang w:val="zh-CN"/>
        </w:rPr>
        <w:t>增长</w:t>
      </w:r>
      <w:r>
        <w:rPr>
          <w:rStyle w:val="20"/>
          <w:rFonts w:hint="eastAsia"/>
          <w:lang w:val="zh-CN"/>
        </w:rPr>
        <w:t>2.63%</w:t>
      </w:r>
      <w:r>
        <w:rPr>
          <w:rStyle w:val="7"/>
          <w:rFonts w:hint="eastAsia"/>
          <w:spacing w:val="-30"/>
          <w:lang w:val="zh-CN"/>
        </w:rPr>
        <w:t>。；比</w:t>
      </w:r>
      <w:r>
        <w:rPr>
          <w:rStyle w:val="20"/>
          <w:rFonts w:hint="eastAsia"/>
          <w:lang w:val="zh-CN"/>
        </w:rPr>
        <w:t>2015</w:t>
      </w:r>
      <w:r>
        <w:rPr>
          <w:rStyle w:val="7"/>
          <w:rFonts w:hint="eastAsia"/>
          <w:lang w:val="zh-CN"/>
        </w:rPr>
        <w:t>年预算总收入增加</w:t>
      </w:r>
      <w:r>
        <w:rPr>
          <w:rStyle w:val="20"/>
          <w:rFonts w:hint="eastAsia"/>
          <w:lang w:val="zh-CN"/>
        </w:rPr>
        <w:t>191.19</w:t>
      </w:r>
      <w:r>
        <w:rPr>
          <w:rStyle w:val="7"/>
          <w:rFonts w:hint="eastAsia"/>
          <w:lang w:val="zh-CN"/>
        </w:rPr>
        <w:t>万元，增长</w:t>
      </w:r>
      <w:r>
        <w:rPr>
          <w:rStyle w:val="20"/>
          <w:rFonts w:hint="eastAsia"/>
          <w:lang w:val="zh-CN"/>
        </w:rPr>
        <w:t>114.27%.</w:t>
      </w:r>
      <w:r>
        <w:rPr>
          <w:rStyle w:val="7"/>
          <w:rFonts w:hint="eastAsia"/>
          <w:lang w:val="zh-CN"/>
        </w:rPr>
        <w:t>增加的主要原因：政法工作经费、网建经费、工资大幅度提高，按照预算改革的相关要求，从</w:t>
      </w:r>
      <w:r>
        <w:rPr>
          <w:rStyle w:val="20"/>
          <w:rFonts w:hint="eastAsia"/>
          <w:lang w:val="zh-CN"/>
        </w:rPr>
        <w:t>2015</w:t>
      </w:r>
      <w:r>
        <w:rPr>
          <w:rStyle w:val="7"/>
          <w:rFonts w:hint="eastAsia"/>
          <w:lang w:val="zh-CN"/>
        </w:rPr>
        <w:t>年起拨入我委机关账户进行开支。其中：财政拨款收入</w:t>
      </w:r>
      <w:r>
        <w:rPr>
          <w:rStyle w:val="20"/>
          <w:rFonts w:hint="eastAsia"/>
          <w:lang w:val="zh-CN"/>
        </w:rPr>
        <w:t>336.74</w:t>
      </w:r>
      <w:r>
        <w:rPr>
          <w:rStyle w:val="7"/>
          <w:rFonts w:hint="eastAsia"/>
          <w:lang w:val="zh-CN"/>
        </w:rPr>
        <w:t>万元，占总收入的</w:t>
      </w:r>
      <w:r>
        <w:rPr>
          <w:rStyle w:val="20"/>
          <w:rFonts w:hint="eastAsia"/>
          <w:lang w:val="zh-CN"/>
        </w:rPr>
        <w:t>93.93%</w:t>
      </w:r>
      <w:r>
        <w:rPr>
          <w:rStyle w:val="7"/>
          <w:rFonts w:hint="eastAsia"/>
          <w:spacing w:val="-30"/>
          <w:lang w:val="zh-CN"/>
        </w:rPr>
        <w:t>。；</w:t>
      </w:r>
      <w:r>
        <w:rPr>
          <w:rStyle w:val="7"/>
          <w:rFonts w:hint="eastAsia"/>
          <w:lang w:val="zh-CN"/>
        </w:rPr>
        <w:t>其他收入</w:t>
      </w:r>
      <w:r>
        <w:rPr>
          <w:rStyle w:val="20"/>
          <w:rFonts w:hint="eastAsia"/>
          <w:lang w:val="zh-CN"/>
        </w:rPr>
        <w:t>21.76</w:t>
      </w:r>
      <w:r>
        <w:rPr>
          <w:rStyle w:val="7"/>
          <w:rFonts w:hint="eastAsia"/>
          <w:lang w:val="zh-CN"/>
        </w:rPr>
        <w:t>万元，占总收入的</w:t>
      </w:r>
      <w:r>
        <w:rPr>
          <w:rStyle w:val="20"/>
          <w:rFonts w:hint="eastAsia"/>
          <w:lang w:val="zh-CN"/>
        </w:rPr>
        <w:t>6.07%.</w:t>
      </w:r>
    </w:p>
    <w:p>
      <w:pPr>
        <w:pStyle w:val="12"/>
        <w:widowControl/>
        <w:spacing w:line="1267" w:lineRule="exact"/>
        <w:ind w:left="658"/>
        <w:rPr>
          <w:rStyle w:val="20"/>
          <w:spacing w:val="0"/>
          <w:sz w:val="30"/>
          <w:szCs w:val="30"/>
          <w:lang w:val="zh-CN"/>
        </w:rPr>
      </w:pPr>
      <w:r>
        <w:rPr>
          <w:rStyle w:val="11"/>
          <w:rFonts w:hint="eastAsia" w:eastAsiaTheme="minorEastAsia"/>
          <w:lang w:val="zh-CN"/>
        </w:rPr>
        <w:t>二</w:t>
      </w:r>
      <w:r>
        <w:rPr>
          <w:rStyle w:val="11"/>
          <w:rFonts w:hint="eastAsia"/>
          <w:lang w:val="zh-CN"/>
        </w:rPr>
        <w:t>、</w:t>
      </w:r>
      <w:r>
        <w:rPr>
          <w:rStyle w:val="28"/>
          <w:rFonts w:hint="eastAsia"/>
          <w:lang w:val="zh-CN"/>
        </w:rPr>
        <w:t>支出总体情况</w:t>
      </w:r>
    </w:p>
    <w:p>
      <w:pPr>
        <w:pStyle w:val="21"/>
        <w:widowControl/>
        <w:spacing w:line="619" w:lineRule="exact"/>
        <w:ind w:left="29" w:firstLine="619"/>
        <w:rPr>
          <w:rStyle w:val="7"/>
          <w:spacing w:val="30"/>
          <w:sz w:val="26"/>
          <w:szCs w:val="26"/>
          <w:lang w:val="zh-CN"/>
        </w:rPr>
      </w:pPr>
      <w:r>
        <w:rPr>
          <w:rStyle w:val="20"/>
          <w:rFonts w:hint="eastAsia"/>
          <w:lang w:val="zh-CN"/>
        </w:rPr>
        <w:t>2015</w:t>
      </w:r>
      <w:r>
        <w:rPr>
          <w:rStyle w:val="7"/>
          <w:rFonts w:hint="eastAsia"/>
          <w:lang w:val="zh-CN"/>
        </w:rPr>
        <w:t>年部门决算总支出</w:t>
      </w:r>
      <w:r>
        <w:rPr>
          <w:rStyle w:val="20"/>
          <w:rFonts w:hint="eastAsia"/>
          <w:lang w:val="zh-CN"/>
        </w:rPr>
        <w:t>358.49</w:t>
      </w:r>
      <w:r>
        <w:rPr>
          <w:rStyle w:val="7"/>
          <w:rFonts w:hint="eastAsia"/>
          <w:lang w:val="zh-CN"/>
        </w:rPr>
        <w:t>万元，比</w:t>
      </w:r>
      <w:r>
        <w:rPr>
          <w:rStyle w:val="20"/>
          <w:rFonts w:hint="eastAsia"/>
          <w:lang w:val="zh-CN"/>
        </w:rPr>
        <w:t>2014</w:t>
      </w:r>
      <w:r>
        <w:rPr>
          <w:rStyle w:val="7"/>
          <w:rFonts w:hint="eastAsia"/>
          <w:lang w:val="zh-CN"/>
        </w:rPr>
        <w:t>年部门决算总支出增加</w:t>
      </w:r>
      <w:r>
        <w:rPr>
          <w:rStyle w:val="20"/>
          <w:rFonts w:hint="eastAsia"/>
          <w:lang w:val="zh-CN"/>
        </w:rPr>
        <w:t>9.19</w:t>
      </w:r>
      <w:r>
        <w:rPr>
          <w:rStyle w:val="7"/>
          <w:rFonts w:hint="eastAsia"/>
          <w:lang w:val="zh-CN"/>
        </w:rPr>
        <w:t>万元，增长</w:t>
      </w:r>
      <w:r>
        <w:rPr>
          <w:rStyle w:val="20"/>
          <w:rFonts w:hint="eastAsia"/>
          <w:lang w:val="zh-CN"/>
        </w:rPr>
        <w:t>2.63%</w:t>
      </w:r>
      <w:r>
        <w:rPr>
          <w:rStyle w:val="7"/>
          <w:rFonts w:hint="eastAsia"/>
          <w:spacing w:val="-30"/>
          <w:lang w:val="zh-CN"/>
        </w:rPr>
        <w:t>。；比</w:t>
      </w:r>
      <w:r>
        <w:rPr>
          <w:rStyle w:val="20"/>
          <w:rFonts w:hint="eastAsia"/>
          <w:lang w:val="zh-CN"/>
        </w:rPr>
        <w:t>2015</w:t>
      </w:r>
      <w:r>
        <w:rPr>
          <w:rStyle w:val="7"/>
          <w:rFonts w:hint="eastAsia"/>
          <w:spacing w:val="-30"/>
          <w:lang w:val="zh-CN"/>
        </w:rPr>
        <w:t>年</w:t>
      </w:r>
      <w:r>
        <w:rPr>
          <w:rStyle w:val="7"/>
          <w:rFonts w:hint="eastAsia"/>
          <w:lang w:val="zh-CN"/>
        </w:rPr>
        <w:t>预算总支出增加</w:t>
      </w:r>
      <w:r>
        <w:rPr>
          <w:rStyle w:val="20"/>
          <w:rFonts w:hint="eastAsia"/>
          <w:lang w:val="zh-CN"/>
        </w:rPr>
        <w:t>191.19</w:t>
      </w:r>
      <w:r>
        <w:rPr>
          <w:rStyle w:val="7"/>
          <w:rFonts w:hint="eastAsia"/>
          <w:lang w:val="zh-CN"/>
        </w:rPr>
        <w:t>万元，增加</w:t>
      </w:r>
      <w:r>
        <w:rPr>
          <w:rStyle w:val="20"/>
          <w:rFonts w:hint="eastAsia"/>
          <w:lang w:val="zh-CN"/>
        </w:rPr>
        <w:t>114.27%</w:t>
      </w:r>
      <w:r>
        <w:rPr>
          <w:rStyle w:val="7"/>
          <w:rFonts w:hint="eastAsia"/>
          <w:lang w:val="zh-CN"/>
        </w:rPr>
        <w:t>的主要原因：政法工作经费、网建经费、工资等项目支出，以往年度在县财政账户中代列，按照预算改革的相关要求，</w:t>
      </w:r>
      <w:r>
        <w:rPr>
          <w:rStyle w:val="7"/>
          <w:rFonts w:hint="eastAsia"/>
          <w:spacing w:val="-30"/>
          <w:lang w:val="zh-CN"/>
        </w:rPr>
        <w:t>从:</w:t>
      </w:r>
      <w:r>
        <w:rPr>
          <w:rStyle w:val="7"/>
          <w:spacing w:val="-30"/>
          <w:lang w:val="zh-CN"/>
        </w:rPr>
        <w:t xml:space="preserve"> </w:t>
      </w:r>
      <w:r>
        <w:rPr>
          <w:rStyle w:val="20"/>
          <w:rFonts w:hint="eastAsia"/>
          <w:lang w:val="zh-CN"/>
        </w:rPr>
        <w:t>2015</w:t>
      </w:r>
      <w:r>
        <w:rPr>
          <w:rStyle w:val="7"/>
          <w:rFonts w:hint="eastAsia"/>
          <w:lang w:val="zh-CN"/>
        </w:rPr>
        <w:t>年起拨入我委机关账户进行开支。其中：财政拨款支出</w:t>
      </w:r>
      <w:r>
        <w:rPr>
          <w:rStyle w:val="20"/>
          <w:rFonts w:hint="eastAsia"/>
          <w:lang w:val="zh-CN"/>
        </w:rPr>
        <w:t>336.74</w:t>
      </w:r>
      <w:r>
        <w:rPr>
          <w:rStyle w:val="7"/>
          <w:rFonts w:hint="eastAsia"/>
          <w:lang w:val="zh-CN"/>
        </w:rPr>
        <w:t>万元，占本年支出的</w:t>
      </w:r>
      <w:r>
        <w:rPr>
          <w:rStyle w:val="20"/>
          <w:rFonts w:hint="eastAsia"/>
          <w:lang w:val="zh-CN"/>
        </w:rPr>
        <w:t>93.93%。</w:t>
      </w:r>
      <w:r>
        <w:rPr>
          <w:rStyle w:val="7"/>
          <w:rFonts w:hint="eastAsia"/>
          <w:lang w:val="zh-CN"/>
        </w:rPr>
        <w:t>财政拨款支出中,</w:t>
      </w:r>
      <w:r>
        <w:rPr>
          <w:rStyle w:val="7"/>
          <w:lang w:val="zh-CN"/>
        </w:rPr>
        <w:t xml:space="preserve"> </w:t>
      </w:r>
      <w:r>
        <w:rPr>
          <w:rStyle w:val="7"/>
          <w:rFonts w:hint="eastAsia"/>
          <w:lang w:val="zh-CN"/>
        </w:rPr>
        <w:t>基本支出</w:t>
      </w:r>
      <w:r>
        <w:rPr>
          <w:rStyle w:val="20"/>
          <w:rFonts w:hint="eastAsia"/>
          <w:lang w:val="zh-CN"/>
        </w:rPr>
        <w:t>262.74</w:t>
      </w:r>
      <w:r>
        <w:rPr>
          <w:rStyle w:val="14"/>
          <w:rFonts w:hint="eastAsia"/>
          <w:lang w:val="zh-CN"/>
        </w:rPr>
        <w:t>万元，</w:t>
      </w:r>
      <w:r>
        <w:rPr>
          <w:rStyle w:val="7"/>
          <w:rFonts w:hint="eastAsia"/>
          <w:lang w:val="zh-CN"/>
        </w:rPr>
        <w:t>占本年财政拨款支出的</w:t>
      </w:r>
      <w:r>
        <w:rPr>
          <w:rStyle w:val="20"/>
          <w:rFonts w:hint="eastAsia"/>
          <w:lang w:val="zh-CN"/>
        </w:rPr>
        <w:t>78.02%.</w:t>
      </w:r>
      <w:r>
        <w:rPr>
          <w:rStyle w:val="7"/>
          <w:rFonts w:hint="eastAsia"/>
          <w:lang w:val="zh-CN"/>
        </w:rPr>
        <w:t>其中：工资福利支出</w:t>
      </w:r>
      <w:r>
        <w:rPr>
          <w:rStyle w:val="20"/>
          <w:rFonts w:hint="eastAsia"/>
          <w:lang w:val="zh-CN"/>
        </w:rPr>
        <w:t>178.01</w:t>
      </w:r>
      <w:r>
        <w:rPr>
          <w:rStyle w:val="7"/>
          <w:rFonts w:hint="eastAsia"/>
          <w:lang w:val="zh-CN"/>
        </w:rPr>
        <w:t>万元，对个人和家庭的补助</w:t>
      </w:r>
      <w:r>
        <w:rPr>
          <w:rStyle w:val="20"/>
          <w:rFonts w:hint="eastAsia"/>
          <w:lang w:val="zh-CN"/>
        </w:rPr>
        <w:t>43.04</w:t>
      </w:r>
      <w:r>
        <w:rPr>
          <w:rStyle w:val="7"/>
          <w:rFonts w:hint="eastAsia"/>
          <w:lang w:val="zh-CN"/>
        </w:rPr>
        <w:t>万元，商品和服务支出</w:t>
      </w:r>
      <w:r>
        <w:rPr>
          <w:rStyle w:val="20"/>
          <w:rFonts w:hint="eastAsia"/>
          <w:lang w:val="zh-CN"/>
        </w:rPr>
        <w:t>41.69</w:t>
      </w:r>
      <w:r>
        <w:rPr>
          <w:rStyle w:val="7"/>
          <w:rFonts w:hint="eastAsia"/>
          <w:lang w:val="zh-CN"/>
        </w:rPr>
        <w:t>万元；项目支出</w:t>
      </w:r>
      <w:r>
        <w:rPr>
          <w:rStyle w:val="20"/>
          <w:rFonts w:hint="eastAsia"/>
          <w:lang w:val="zh-CN"/>
        </w:rPr>
        <w:t>74</w:t>
      </w:r>
      <w:r>
        <w:rPr>
          <w:rStyle w:val="7"/>
          <w:rFonts w:hint="eastAsia"/>
          <w:lang w:val="zh-CN"/>
        </w:rPr>
        <w:t>万元，占本年财政拨款支出的</w:t>
      </w:r>
      <w:r>
        <w:rPr>
          <w:rStyle w:val="20"/>
          <w:rFonts w:hint="eastAsia"/>
          <w:lang w:val="zh-CN"/>
        </w:rPr>
        <w:t>21.98%,</w:t>
      </w:r>
      <w:r>
        <w:rPr>
          <w:rStyle w:val="7"/>
          <w:rFonts w:hint="eastAsia"/>
          <w:lang w:val="zh-CN"/>
        </w:rPr>
        <w:t>主要是维持机构正常运转、开展政法工作所发生的政法事务支出。</w:t>
      </w:r>
    </w:p>
    <w:p>
      <w:pPr>
        <w:pStyle w:val="29"/>
        <w:widowControl/>
        <w:spacing w:line="240" w:lineRule="exact"/>
        <w:ind w:left="917"/>
        <w:rPr>
          <w:sz w:val="20"/>
          <w:szCs w:val="20"/>
        </w:rPr>
      </w:pPr>
    </w:p>
    <w:p>
      <w:pPr>
        <w:pStyle w:val="29"/>
        <w:widowControl/>
        <w:spacing w:before="38"/>
        <w:ind w:left="917"/>
        <w:rPr>
          <w:rStyle w:val="28"/>
          <w:lang w:val="zh-CN"/>
        </w:rPr>
      </w:pPr>
      <w:r>
        <w:rPr>
          <w:rStyle w:val="28"/>
          <w:rFonts w:hint="eastAsia"/>
          <w:spacing w:val="70"/>
          <w:lang w:val="zh-CN"/>
        </w:rPr>
        <w:t>(一）</w:t>
      </w:r>
      <w:r>
        <w:rPr>
          <w:rStyle w:val="28"/>
          <w:rFonts w:hint="eastAsia"/>
          <w:lang w:val="zh-CN"/>
        </w:rPr>
        <w:t>"三</w:t>
      </w:r>
      <w:r>
        <w:rPr>
          <w:rStyle w:val="28"/>
          <w:rFonts w:hint="eastAsia"/>
          <w:spacing w:val="-20"/>
          <w:lang w:val="zh-CN"/>
        </w:rPr>
        <w:t>公"</w:t>
      </w:r>
      <w:r>
        <w:rPr>
          <w:rStyle w:val="28"/>
          <w:rFonts w:hint="eastAsia"/>
          <w:lang w:val="zh-CN"/>
        </w:rPr>
        <w:t>经费支出说明。</w:t>
      </w:r>
    </w:p>
    <w:p>
      <w:pPr>
        <w:pStyle w:val="21"/>
        <w:widowControl/>
        <w:spacing w:before="19" w:line="653" w:lineRule="exact"/>
        <w:ind w:left="82" w:right="38" w:firstLine="701"/>
        <w:rPr>
          <w:rStyle w:val="7"/>
          <w:lang w:val="zh-CN"/>
        </w:rPr>
      </w:pPr>
      <w:r>
        <w:rPr>
          <w:rStyle w:val="20"/>
          <w:rFonts w:hint="eastAsia"/>
          <w:lang w:val="zh-CN"/>
        </w:rPr>
        <w:t>2015</w:t>
      </w:r>
      <w:r>
        <w:rPr>
          <w:rStyle w:val="7"/>
          <w:rFonts w:hint="eastAsia"/>
          <w:lang w:val="zh-CN"/>
        </w:rPr>
        <w:t>年"</w:t>
      </w:r>
      <w:r>
        <w:rPr>
          <w:rStyle w:val="14"/>
          <w:rFonts w:hint="eastAsia"/>
          <w:lang w:val="zh-CN"/>
        </w:rPr>
        <w:t>三公</w:t>
      </w:r>
      <w:r>
        <w:rPr>
          <w:rStyle w:val="7"/>
          <w:rFonts w:hint="eastAsia"/>
          <w:lang w:val="zh-CN"/>
        </w:rPr>
        <w:t>经费"财政拨款支出共</w:t>
      </w:r>
      <w:r>
        <w:rPr>
          <w:rStyle w:val="20"/>
          <w:rFonts w:hint="eastAsia"/>
          <w:lang w:val="zh-CN"/>
        </w:rPr>
        <w:t>13.90</w:t>
      </w:r>
      <w:r>
        <w:rPr>
          <w:rStyle w:val="14"/>
          <w:rFonts w:hint="eastAsia"/>
          <w:lang w:val="zh-CN"/>
        </w:rPr>
        <w:t>万元，</w:t>
      </w:r>
      <w:r>
        <w:rPr>
          <w:rStyle w:val="7"/>
          <w:rFonts w:hint="eastAsia"/>
          <w:lang w:val="zh-CN"/>
        </w:rPr>
        <w:t>具体情况如下：</w:t>
      </w:r>
    </w:p>
    <w:p>
      <w:pPr>
        <w:pStyle w:val="21"/>
        <w:widowControl/>
        <w:ind w:right="5"/>
        <w:rPr>
          <w:rStyle w:val="7"/>
          <w:lang w:val="zh-CN"/>
        </w:rPr>
      </w:pPr>
      <w:r>
        <w:rPr>
          <w:rStyle w:val="20"/>
          <w:rFonts w:hint="eastAsia"/>
          <w:lang w:val="zh-CN"/>
        </w:rPr>
        <w:t>1、</w:t>
      </w:r>
      <w:r>
        <w:rPr>
          <w:rStyle w:val="7"/>
          <w:rFonts w:hint="eastAsia"/>
          <w:lang w:val="zh-CN"/>
        </w:rPr>
        <w:t>因公出国（境）费支出</w:t>
      </w:r>
      <w:r>
        <w:rPr>
          <w:rStyle w:val="20"/>
          <w:rFonts w:hint="eastAsia"/>
          <w:lang w:val="zh-CN"/>
        </w:rPr>
        <w:t>0</w:t>
      </w:r>
      <w:r>
        <w:rPr>
          <w:rStyle w:val="7"/>
          <w:rFonts w:hint="eastAsia"/>
          <w:lang w:val="zh-CN"/>
        </w:rPr>
        <w:t>万元。</w:t>
      </w:r>
    </w:p>
    <w:p>
      <w:pPr>
        <w:pStyle w:val="21"/>
        <w:widowControl/>
        <w:spacing w:line="240" w:lineRule="auto"/>
        <w:ind w:left="4" w:leftChars="2" w:firstLine="602" w:firstLineChars="200"/>
        <w:rPr>
          <w:rStyle w:val="7"/>
          <w:rFonts w:hAnsi="宋体"/>
          <w:lang w:val="zh-CN"/>
        </w:rPr>
      </w:pPr>
      <w:r>
        <w:rPr>
          <w:rStyle w:val="23"/>
          <w:rFonts w:hint="eastAsia" w:ascii="宋体" w:hAnsi="宋体" w:eastAsia="宋体"/>
          <w:sz w:val="28"/>
          <w:szCs w:val="28"/>
          <w:lang w:val="zh-CN"/>
        </w:rPr>
        <w:t>2、</w:t>
      </w:r>
      <w:r>
        <w:rPr>
          <w:rStyle w:val="7"/>
          <w:rFonts w:hint="eastAsia" w:hAnsi="宋体"/>
          <w:lang w:val="zh-CN"/>
        </w:rPr>
        <w:t>公务用车购置及运行维护费支出</w:t>
      </w:r>
      <w:r>
        <w:rPr>
          <w:rStyle w:val="20"/>
          <w:rFonts w:hint="eastAsia" w:hAnsi="宋体"/>
          <w:sz w:val="28"/>
          <w:szCs w:val="28"/>
          <w:lang w:val="zh-CN"/>
        </w:rPr>
        <w:t>10.30</w:t>
      </w:r>
      <w:r>
        <w:rPr>
          <w:rStyle w:val="7"/>
          <w:rFonts w:hint="eastAsia" w:hAnsi="宋体"/>
          <w:lang w:val="zh-CN"/>
        </w:rPr>
        <w:t>万元，比</w:t>
      </w:r>
      <w:r>
        <w:rPr>
          <w:rStyle w:val="20"/>
          <w:rFonts w:hint="eastAsia" w:hAnsi="宋体"/>
          <w:sz w:val="28"/>
          <w:szCs w:val="28"/>
          <w:lang w:val="zh-CN"/>
        </w:rPr>
        <w:t xml:space="preserve">2014 </w:t>
      </w:r>
      <w:r>
        <w:rPr>
          <w:rStyle w:val="7"/>
          <w:rFonts w:hint="eastAsia" w:hAnsi="宋体"/>
          <w:lang w:val="zh-CN"/>
        </w:rPr>
        <w:t>年决算增加3.8</w:t>
      </w:r>
      <w:r>
        <w:rPr>
          <w:rStyle w:val="30"/>
          <w:rFonts w:hint="eastAsia" w:hAnsi="宋体"/>
          <w:sz w:val="28"/>
          <w:szCs w:val="28"/>
          <w:lang w:val="zh-CN"/>
        </w:rPr>
        <w:t>万元,</w:t>
      </w:r>
      <w:r>
        <w:rPr>
          <w:rStyle w:val="7"/>
          <w:rFonts w:hint="eastAsia" w:hAnsi="宋体"/>
          <w:lang w:val="zh-CN"/>
        </w:rPr>
        <w:t>增加</w:t>
      </w:r>
      <w:r>
        <w:rPr>
          <w:rStyle w:val="20"/>
          <w:rFonts w:hint="eastAsia" w:hAnsi="宋体"/>
          <w:spacing w:val="-10"/>
          <w:sz w:val="28"/>
          <w:szCs w:val="28"/>
          <w:lang w:val="zh-CN"/>
        </w:rPr>
        <w:t>58.46</w:t>
      </w:r>
      <w:r>
        <w:rPr>
          <w:rStyle w:val="20"/>
          <w:rFonts w:hint="eastAsia" w:hAnsi="宋体"/>
          <w:sz w:val="28"/>
          <w:szCs w:val="28"/>
          <w:lang w:val="zh-CN"/>
        </w:rPr>
        <w:t>%,</w:t>
      </w:r>
      <w:r>
        <w:rPr>
          <w:rStyle w:val="7"/>
          <w:rFonts w:hint="eastAsia" w:hAnsi="宋体"/>
          <w:lang w:val="zh-CN"/>
        </w:rPr>
        <w:t>与</w:t>
      </w:r>
      <w:r>
        <w:rPr>
          <w:rStyle w:val="20"/>
          <w:rFonts w:hint="eastAsia" w:hAnsi="宋体"/>
          <w:sz w:val="28"/>
          <w:szCs w:val="28"/>
          <w:lang w:val="zh-CN"/>
        </w:rPr>
        <w:t>2015</w:t>
      </w:r>
      <w:r>
        <w:rPr>
          <w:rStyle w:val="7"/>
          <w:rFonts w:hint="eastAsia" w:hAnsi="宋体"/>
          <w:lang w:val="zh-CN"/>
        </w:rPr>
        <w:t>年预算持平，支出增加的原因：一是</w:t>
      </w:r>
      <w:r>
        <w:rPr>
          <w:rStyle w:val="20"/>
          <w:rFonts w:hint="eastAsia" w:hAnsi="宋体"/>
          <w:sz w:val="28"/>
          <w:szCs w:val="28"/>
          <w:lang w:val="zh-CN"/>
        </w:rPr>
        <w:t>2015年实际车辆数</w:t>
      </w:r>
      <w:r>
        <w:rPr>
          <w:rStyle w:val="7"/>
          <w:rFonts w:hint="eastAsia"/>
          <w:lang w:val="zh-CN"/>
        </w:rPr>
        <w:t>比</w:t>
      </w:r>
      <w:r>
        <w:rPr>
          <w:rStyle w:val="20"/>
          <w:rFonts w:hint="eastAsia"/>
          <w:lang w:val="zh-CN"/>
        </w:rPr>
        <w:t>2014</w:t>
      </w:r>
      <w:r>
        <w:rPr>
          <w:rStyle w:val="7"/>
          <w:rFonts w:hint="eastAsia"/>
          <w:lang w:val="zh-CN"/>
        </w:rPr>
        <w:t>年增加1辆</w:t>
      </w:r>
      <w:r>
        <w:rPr>
          <w:rStyle w:val="7"/>
          <w:rFonts w:hint="eastAsia" w:hAnsi="宋体"/>
          <w:lang w:val="zh-CN"/>
        </w:rPr>
        <w:t>；二是下乡镇指导、检查、督查工作次数增加，明显车辆运行费也随着增加。</w:t>
      </w:r>
    </w:p>
    <w:p>
      <w:pPr>
        <w:pStyle w:val="21"/>
        <w:widowControl/>
        <w:spacing w:line="614" w:lineRule="exact"/>
        <w:ind w:left="24" w:right="10" w:firstLine="653"/>
        <w:rPr>
          <w:rStyle w:val="7"/>
          <w:lang w:val="zh-CN"/>
        </w:rPr>
      </w:pPr>
      <w:r>
        <w:rPr>
          <w:rStyle w:val="20"/>
          <w:rFonts w:hint="eastAsia"/>
          <w:lang w:val="zh-CN"/>
        </w:rPr>
        <w:t>3</w:t>
      </w:r>
      <w:r>
        <w:rPr>
          <w:rStyle w:val="7"/>
          <w:rFonts w:hint="eastAsia"/>
          <w:lang w:val="zh-CN"/>
        </w:rPr>
        <w:t>，公务接待费支出</w:t>
      </w:r>
      <w:r>
        <w:rPr>
          <w:rStyle w:val="20"/>
          <w:rFonts w:hint="eastAsia"/>
          <w:lang w:val="zh-CN"/>
        </w:rPr>
        <w:t>3.6</w:t>
      </w:r>
      <w:r>
        <w:rPr>
          <w:rStyle w:val="7"/>
          <w:rFonts w:hint="eastAsia"/>
          <w:lang w:val="zh-CN"/>
        </w:rPr>
        <w:t>万元，比</w:t>
      </w:r>
      <w:r>
        <w:rPr>
          <w:rStyle w:val="20"/>
          <w:rFonts w:hint="eastAsia"/>
          <w:lang w:val="zh-CN"/>
        </w:rPr>
        <w:t>2014</w:t>
      </w:r>
      <w:r>
        <w:rPr>
          <w:rStyle w:val="7"/>
          <w:rFonts w:hint="eastAsia"/>
          <w:lang w:val="zh-CN"/>
        </w:rPr>
        <w:t>年决算增加1.8万元,增加100%</w:t>
      </w:r>
      <w:r>
        <w:rPr>
          <w:rStyle w:val="20"/>
          <w:rFonts w:hint="eastAsia"/>
          <w:lang w:val="zh-CN"/>
        </w:rPr>
        <w:t>,</w:t>
      </w:r>
      <w:r>
        <w:rPr>
          <w:rStyle w:val="7"/>
          <w:rFonts w:hint="eastAsia"/>
          <w:lang w:val="zh-CN"/>
        </w:rPr>
        <w:t>比</w:t>
      </w:r>
      <w:r>
        <w:rPr>
          <w:rStyle w:val="20"/>
          <w:rFonts w:hint="eastAsia"/>
          <w:lang w:val="zh-CN"/>
        </w:rPr>
        <w:t>2015</w:t>
      </w:r>
      <w:r>
        <w:rPr>
          <w:rStyle w:val="7"/>
          <w:rFonts w:hint="eastAsia"/>
          <w:lang w:val="zh-CN"/>
        </w:rPr>
        <w:t>年预算减少</w:t>
      </w:r>
      <w:r>
        <w:rPr>
          <w:rStyle w:val="20"/>
          <w:rFonts w:hint="eastAsia"/>
          <w:lang w:val="zh-CN"/>
        </w:rPr>
        <w:t>11.4</w:t>
      </w:r>
      <w:r>
        <w:rPr>
          <w:rStyle w:val="7"/>
          <w:rFonts w:hint="eastAsia"/>
          <w:lang w:val="zh-CN"/>
        </w:rPr>
        <w:t>万元，</w:t>
      </w:r>
      <w:r>
        <w:rPr>
          <w:rStyle w:val="7"/>
          <w:lang w:val="zh-CN"/>
        </w:rPr>
        <w:t xml:space="preserve"> </w:t>
      </w:r>
      <w:r>
        <w:rPr>
          <w:rStyle w:val="7"/>
          <w:rFonts w:hint="eastAsia"/>
          <w:lang w:val="zh-CN"/>
        </w:rPr>
        <w:t>降低</w:t>
      </w:r>
      <w:r>
        <w:rPr>
          <w:rStyle w:val="20"/>
          <w:rFonts w:hint="eastAsia"/>
          <w:lang w:val="zh-CN"/>
        </w:rPr>
        <w:t>76%</w:t>
      </w:r>
      <w:r>
        <w:rPr>
          <w:rStyle w:val="7"/>
          <w:rFonts w:hint="eastAsia"/>
          <w:spacing w:val="-30"/>
          <w:lang w:val="zh-CN"/>
        </w:rPr>
        <w:t>。</w:t>
      </w:r>
      <w:r>
        <w:rPr>
          <w:rStyle w:val="7"/>
          <w:rFonts w:hint="eastAsia"/>
          <w:lang w:val="zh-CN"/>
        </w:rPr>
        <w:t>支出增加的原因：一是接待上级来人批次、人次增加；二是当前物价上调幅度大。其中国内公务接待</w:t>
      </w:r>
      <w:r>
        <w:rPr>
          <w:rStyle w:val="20"/>
          <w:rFonts w:hint="eastAsia"/>
          <w:lang w:val="zh-CN"/>
        </w:rPr>
        <w:t>36</w:t>
      </w:r>
      <w:r>
        <w:rPr>
          <w:rStyle w:val="7"/>
          <w:rFonts w:hint="eastAsia"/>
          <w:lang w:val="zh-CN"/>
        </w:rPr>
        <w:t>批次，总计</w:t>
      </w:r>
      <w:r>
        <w:rPr>
          <w:rStyle w:val="20"/>
          <w:rFonts w:hint="eastAsia"/>
          <w:lang w:val="zh-CN"/>
        </w:rPr>
        <w:t>616</w:t>
      </w:r>
      <w:r>
        <w:rPr>
          <w:rStyle w:val="7"/>
          <w:rFonts w:hint="eastAsia"/>
          <w:lang w:val="zh-CN"/>
        </w:rPr>
        <w:t>人次。</w:t>
      </w:r>
    </w:p>
    <w:p>
      <w:pPr>
        <w:pStyle w:val="31"/>
        <w:widowControl/>
        <w:numPr>
          <w:ilvl w:val="0"/>
          <w:numId w:val="6"/>
        </w:numPr>
        <w:tabs>
          <w:tab w:val="left" w:pos="1627"/>
        </w:tabs>
        <w:spacing w:before="230"/>
        <w:ind w:left="811"/>
        <w:rPr>
          <w:rStyle w:val="28"/>
          <w:spacing w:val="70"/>
          <w:lang w:val="zh-CN"/>
        </w:rPr>
      </w:pPr>
      <w:r>
        <w:rPr>
          <w:rStyle w:val="28"/>
          <w:rFonts w:hint="eastAsia"/>
          <w:lang w:val="zh-CN"/>
        </w:rPr>
        <w:t>机关运行经费支出说明。</w:t>
      </w:r>
    </w:p>
    <w:p>
      <w:pPr>
        <w:pStyle w:val="21"/>
        <w:widowControl/>
        <w:spacing w:before="19" w:line="634" w:lineRule="exact"/>
        <w:ind w:left="29" w:right="10" w:firstLine="643"/>
        <w:rPr>
          <w:rStyle w:val="20"/>
          <w:spacing w:val="-30"/>
          <w:sz w:val="28"/>
          <w:szCs w:val="28"/>
          <w:lang w:val="zh-CN"/>
        </w:rPr>
      </w:pPr>
      <w:r>
        <w:rPr>
          <w:rStyle w:val="20"/>
          <w:rFonts w:hint="eastAsia"/>
          <w:lang w:val="zh-CN"/>
        </w:rPr>
        <w:t>2015</w:t>
      </w:r>
      <w:r>
        <w:rPr>
          <w:rStyle w:val="7"/>
          <w:rFonts w:hint="eastAsia"/>
          <w:lang w:val="zh-CN"/>
        </w:rPr>
        <w:t>年本部门机关运行经费支出</w:t>
      </w:r>
      <w:r>
        <w:rPr>
          <w:rStyle w:val="20"/>
          <w:rFonts w:hint="eastAsia"/>
          <w:lang w:val="zh-CN"/>
        </w:rPr>
        <w:t>222.20</w:t>
      </w:r>
      <w:r>
        <w:rPr>
          <w:rStyle w:val="7"/>
          <w:rFonts w:hint="eastAsia"/>
          <w:lang w:val="zh-CN"/>
        </w:rPr>
        <w:t>万元，比</w:t>
      </w:r>
      <w:r>
        <w:rPr>
          <w:rStyle w:val="20"/>
          <w:rFonts w:hint="eastAsia"/>
          <w:lang w:val="zh-CN"/>
        </w:rPr>
        <w:t>2014</w:t>
      </w:r>
      <w:r>
        <w:rPr>
          <w:rStyle w:val="20"/>
          <w:lang w:val="zh-CN"/>
        </w:rPr>
        <w:t xml:space="preserve"> </w:t>
      </w:r>
      <w:r>
        <w:rPr>
          <w:rStyle w:val="7"/>
          <w:rFonts w:hint="eastAsia"/>
          <w:lang w:val="zh-CN"/>
        </w:rPr>
        <w:t>年增加</w:t>
      </w:r>
      <w:r>
        <w:rPr>
          <w:rStyle w:val="20"/>
          <w:rFonts w:hint="eastAsia"/>
          <w:lang w:val="zh-CN"/>
        </w:rPr>
        <w:t>55</w:t>
      </w:r>
      <w:r>
        <w:rPr>
          <w:rStyle w:val="7"/>
          <w:rFonts w:hint="eastAsia"/>
          <w:lang w:val="zh-CN"/>
        </w:rPr>
        <w:t>万元，增长</w:t>
      </w:r>
      <w:r>
        <w:rPr>
          <w:rStyle w:val="20"/>
          <w:rFonts w:hint="eastAsia"/>
          <w:lang w:val="zh-CN"/>
        </w:rPr>
        <w:t>32.89%</w:t>
      </w:r>
      <w:r>
        <w:rPr>
          <w:rStyle w:val="7"/>
          <w:rFonts w:hint="eastAsia"/>
          <w:lang w:val="zh-CN"/>
        </w:rPr>
        <w:t>主要原因是有关办公费用价格上涨等</w:t>
      </w:r>
      <w:r>
        <w:rPr>
          <w:rStyle w:val="7"/>
          <w:rFonts w:hint="eastAsia"/>
          <w:spacing w:val="-30"/>
          <w:lang w:val="zh-CN"/>
        </w:rPr>
        <w:t>。</w:t>
      </w:r>
    </w:p>
    <w:p>
      <w:pPr>
        <w:spacing w:line="480" w:lineRule="auto"/>
        <w:ind w:firstLine="465"/>
        <w:rPr>
          <w:rFonts w:asciiTheme="minorEastAsia" w:hAnsiTheme="minorEastAsia"/>
          <w:b/>
          <w:sz w:val="28"/>
          <w:szCs w:val="28"/>
        </w:rPr>
      </w:pPr>
      <w:r>
        <w:rPr>
          <w:rFonts w:hint="eastAsia" w:asciiTheme="minorEastAsia" w:hAnsiTheme="minorEastAsia"/>
          <w:b/>
          <w:sz w:val="28"/>
          <w:szCs w:val="28"/>
        </w:rPr>
        <w:t>（三）政府采购支出说明。</w:t>
      </w:r>
    </w:p>
    <w:p>
      <w:pPr>
        <w:spacing w:line="480" w:lineRule="auto"/>
        <w:ind w:firstLine="465"/>
        <w:rPr>
          <w:rStyle w:val="7"/>
          <w:rFonts w:asciiTheme="minorEastAsia" w:hAnsiTheme="minorEastAsia" w:eastAsiaTheme="minorEastAsia" w:cstheme="minorBidi"/>
          <w:b w:val="0"/>
          <w:bCs w:val="0"/>
          <w:spacing w:val="0"/>
        </w:rPr>
      </w:pPr>
      <w:r>
        <w:rPr>
          <w:rFonts w:hint="eastAsia" w:asciiTheme="minorEastAsia" w:hAnsiTheme="minorEastAsia"/>
          <w:b/>
          <w:sz w:val="28"/>
          <w:szCs w:val="28"/>
        </w:rPr>
        <w:t>2015年本单位所有电脑、空调等政策规定应政府采购的办公用品均实行政府采购。</w:t>
      </w:r>
    </w:p>
    <w:p>
      <w:pPr>
        <w:pStyle w:val="31"/>
        <w:widowControl/>
        <w:tabs>
          <w:tab w:val="left" w:pos="1627"/>
        </w:tabs>
        <w:spacing w:before="245"/>
        <w:ind w:firstLine="446" w:firstLineChars="148"/>
        <w:rPr>
          <w:rStyle w:val="25"/>
          <w:spacing w:val="70"/>
          <w:lang w:val="zh-CN"/>
        </w:rPr>
      </w:pPr>
      <w:r>
        <w:rPr>
          <w:rStyle w:val="28"/>
          <w:rFonts w:hint="eastAsia"/>
          <w:lang w:val="zh-CN"/>
        </w:rPr>
        <w:t>（四）国有资产占用情况说明。</w:t>
      </w:r>
    </w:p>
    <w:p>
      <w:pPr>
        <w:pStyle w:val="21"/>
        <w:widowControl/>
        <w:spacing w:before="24" w:line="634" w:lineRule="exact"/>
        <w:ind w:left="67" w:right="19" w:firstLine="629"/>
        <w:rPr>
          <w:rStyle w:val="7"/>
          <w:lang w:val="zh-CN"/>
        </w:rPr>
      </w:pPr>
      <w:r>
        <w:rPr>
          <w:rStyle w:val="7"/>
          <w:rFonts w:hint="eastAsia"/>
          <w:lang w:val="zh-CN"/>
        </w:rPr>
        <w:t>截至</w:t>
      </w:r>
      <w:r>
        <w:rPr>
          <w:rStyle w:val="20"/>
          <w:rFonts w:hint="eastAsia"/>
          <w:lang w:val="zh-CN"/>
        </w:rPr>
        <w:t>2015</w:t>
      </w:r>
      <w:r>
        <w:rPr>
          <w:rStyle w:val="7"/>
          <w:rFonts w:hint="eastAsia"/>
          <w:spacing w:val="70"/>
          <w:lang w:val="zh-CN"/>
        </w:rPr>
        <w:t>年</w:t>
      </w:r>
      <w:r>
        <w:rPr>
          <w:rStyle w:val="20"/>
          <w:rFonts w:hint="eastAsia"/>
          <w:lang w:val="zh-CN"/>
        </w:rPr>
        <w:t>12</w:t>
      </w:r>
      <w:r>
        <w:rPr>
          <w:rStyle w:val="7"/>
          <w:rFonts w:hint="eastAsia"/>
          <w:spacing w:val="70"/>
          <w:lang w:val="zh-CN"/>
        </w:rPr>
        <w:t>月</w:t>
      </w:r>
      <w:r>
        <w:rPr>
          <w:rStyle w:val="20"/>
          <w:rFonts w:hint="eastAsia"/>
          <w:lang w:val="zh-CN"/>
        </w:rPr>
        <w:t>31</w:t>
      </w:r>
      <w:r>
        <w:rPr>
          <w:rStyle w:val="7"/>
          <w:rFonts w:hint="eastAsia"/>
          <w:spacing w:val="70"/>
          <w:lang w:val="zh-CN"/>
        </w:rPr>
        <w:t>曰，</w:t>
      </w:r>
      <w:r>
        <w:rPr>
          <w:rStyle w:val="7"/>
          <w:rFonts w:hint="eastAsia"/>
          <w:lang w:val="zh-CN"/>
        </w:rPr>
        <w:t>本部门共有车辆</w:t>
      </w:r>
      <w:r>
        <w:rPr>
          <w:rStyle w:val="20"/>
          <w:rFonts w:hint="eastAsia"/>
          <w:lang w:val="zh-CN"/>
        </w:rPr>
        <w:t>4</w:t>
      </w:r>
      <w:r>
        <w:rPr>
          <w:rStyle w:val="7"/>
          <w:rFonts w:hint="eastAsia"/>
          <w:lang w:val="zh-CN"/>
        </w:rPr>
        <w:t>辆，均为</w:t>
      </w:r>
      <w:r>
        <w:rPr>
          <w:rStyle w:val="11"/>
          <w:rFonts w:hint="eastAsia"/>
          <w:lang w:val="zh-CN"/>
        </w:rPr>
        <w:t>一</w:t>
      </w:r>
      <w:r>
        <w:rPr>
          <w:rStyle w:val="7"/>
          <w:rFonts w:hint="eastAsia"/>
          <w:lang w:val="zh-CN"/>
        </w:rPr>
        <w:t>般公务用车。无单位价值</w:t>
      </w:r>
      <w:r>
        <w:rPr>
          <w:rStyle w:val="20"/>
          <w:rFonts w:hint="eastAsia"/>
          <w:lang w:val="zh-CN"/>
        </w:rPr>
        <w:t>200</w:t>
      </w:r>
      <w:r>
        <w:rPr>
          <w:rStyle w:val="7"/>
          <w:rFonts w:hint="eastAsia"/>
          <w:lang w:val="zh-CN"/>
        </w:rPr>
        <w:t>万元以上的设备。</w:t>
      </w:r>
    </w:p>
    <w:p>
      <w:pPr>
        <w:rPr>
          <w:rStyle w:val="28"/>
          <w:lang w:val="zh-CN"/>
        </w:rPr>
      </w:pPr>
      <w:r>
        <w:rPr>
          <w:rStyle w:val="28"/>
          <w:rFonts w:hint="eastAsia"/>
          <w:lang w:val="zh-CN"/>
        </w:rPr>
        <w:t xml:space="preserve">     (五)预算绩效管理工作开展情况。</w:t>
      </w:r>
    </w:p>
    <w:p>
      <w:pPr>
        <w:pStyle w:val="21"/>
        <w:widowControl/>
        <w:spacing w:line="240" w:lineRule="auto"/>
        <w:rPr>
          <w:rStyle w:val="7"/>
          <w:lang w:val="zh-CN"/>
        </w:rPr>
      </w:pPr>
      <w:r>
        <w:rPr>
          <w:rStyle w:val="7"/>
          <w:rFonts w:hint="eastAsia"/>
          <w:lang w:val="zh-CN"/>
        </w:rPr>
        <w:t>政法委</w:t>
      </w:r>
      <w:r>
        <w:rPr>
          <w:rStyle w:val="20"/>
          <w:rFonts w:hint="eastAsia"/>
          <w:lang w:val="zh-CN"/>
        </w:rPr>
        <w:t>2015</w:t>
      </w:r>
      <w:r>
        <w:rPr>
          <w:rStyle w:val="7"/>
          <w:rFonts w:hint="eastAsia"/>
          <w:lang w:val="zh-CN"/>
        </w:rPr>
        <w:t>年部门决算无进行预算绩效评价的民生项目和重点支出项目支出。</w:t>
      </w: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4166"/>
        <w:jc w:val="right"/>
        <w:rPr>
          <w:rStyle w:val="7"/>
          <w:sz w:val="36"/>
          <w:szCs w:val="36"/>
          <w:lang w:val="zh-CN"/>
        </w:rPr>
      </w:pPr>
    </w:p>
    <w:p>
      <w:pPr>
        <w:pStyle w:val="32"/>
        <w:widowControl/>
        <w:spacing w:before="130"/>
        <w:ind w:left="662" w:right="2966"/>
        <w:jc w:val="right"/>
        <w:rPr>
          <w:rStyle w:val="7"/>
          <w:sz w:val="36"/>
          <w:szCs w:val="36"/>
          <w:lang w:val="zh-CN"/>
        </w:rPr>
      </w:pPr>
      <w:r>
        <w:rPr>
          <w:rStyle w:val="7"/>
          <w:rFonts w:hint="eastAsia"/>
          <w:sz w:val="36"/>
          <w:szCs w:val="36"/>
          <w:lang w:val="zh-CN"/>
        </w:rPr>
        <w:t>第四部分 名词解释</w:t>
      </w:r>
    </w:p>
    <w:p>
      <w:pPr>
        <w:pStyle w:val="32"/>
        <w:widowControl/>
        <w:spacing w:before="130"/>
        <w:ind w:left="662" w:right="2966"/>
        <w:jc w:val="right"/>
        <w:rPr>
          <w:rStyle w:val="7"/>
          <w:sz w:val="36"/>
          <w:szCs w:val="36"/>
          <w:lang w:val="zh-CN"/>
        </w:rPr>
      </w:pPr>
    </w:p>
    <w:p>
      <w:pPr>
        <w:pStyle w:val="21"/>
        <w:widowControl/>
        <w:spacing w:before="58" w:line="619" w:lineRule="exact"/>
        <w:ind w:left="653" w:firstLine="0"/>
        <w:jc w:val="left"/>
        <w:rPr>
          <w:rStyle w:val="7"/>
          <w:lang w:val="zh-CN"/>
        </w:rPr>
      </w:pPr>
      <w:r>
        <w:rPr>
          <w:rStyle w:val="7"/>
          <w:rFonts w:hint="eastAsia"/>
          <w:lang w:val="zh-CN"/>
        </w:rPr>
        <w:t>财政拨款收入：指县财政当年拨付的资金。</w:t>
      </w:r>
    </w:p>
    <w:p>
      <w:pPr>
        <w:pStyle w:val="21"/>
        <w:widowControl/>
        <w:spacing w:line="619" w:lineRule="exact"/>
        <w:ind w:left="662" w:firstLine="0"/>
        <w:jc w:val="left"/>
        <w:rPr>
          <w:rStyle w:val="7"/>
          <w:lang w:val="zh-CN"/>
        </w:rPr>
      </w:pPr>
      <w:r>
        <w:rPr>
          <w:rStyle w:val="7"/>
          <w:rFonts w:hint="eastAsia"/>
          <w:lang w:val="zh-CN"/>
        </w:rPr>
        <w:t>事业收入：指事业单位开展专业业务活动及辅助活动所</w:t>
      </w:r>
    </w:p>
    <w:p>
      <w:pPr>
        <w:pStyle w:val="32"/>
        <w:widowControl/>
        <w:spacing w:line="619" w:lineRule="exact"/>
        <w:ind w:left="5" w:firstLine="0"/>
        <w:jc w:val="both"/>
        <w:rPr>
          <w:rStyle w:val="7"/>
          <w:lang w:val="zh-CN"/>
        </w:rPr>
      </w:pPr>
      <w:r>
        <w:rPr>
          <w:rStyle w:val="7"/>
          <w:rFonts w:hint="eastAsia"/>
          <w:lang w:val="zh-CN"/>
        </w:rPr>
        <w:t>取得的收入。</w:t>
      </w:r>
    </w:p>
    <w:p>
      <w:pPr>
        <w:pStyle w:val="21"/>
        <w:widowControl/>
        <w:spacing w:line="614" w:lineRule="exact"/>
        <w:ind w:left="53" w:right="58" w:firstLine="605"/>
        <w:rPr>
          <w:rStyle w:val="7"/>
          <w:lang w:val="zh-CN"/>
        </w:rPr>
      </w:pPr>
      <w:r>
        <w:rPr>
          <w:rStyle w:val="7"/>
          <w:rFonts w:hint="eastAsia"/>
          <w:lang w:val="zh-CN"/>
        </w:rPr>
        <w:t>其他收入：指除上述"财政拨款收入"、"事业收入"等以外的收入。主要是银行存款利息收入等。</w:t>
      </w:r>
    </w:p>
    <w:p>
      <w:pPr>
        <w:pStyle w:val="21"/>
        <w:widowControl/>
        <w:ind w:left="677" w:firstLine="0"/>
        <w:jc w:val="left"/>
        <w:rPr>
          <w:rStyle w:val="7"/>
          <w:lang w:val="zh-CN"/>
        </w:rPr>
      </w:pPr>
      <w:r>
        <w:rPr>
          <w:rStyle w:val="7"/>
          <w:rFonts w:hint="eastAsia"/>
          <w:lang w:val="zh-CN"/>
        </w:rPr>
        <w:t>年初结转和结余：指以前年度尚未完成、结转到本年按</w:t>
      </w:r>
    </w:p>
    <w:p>
      <w:pPr>
        <w:pStyle w:val="32"/>
        <w:widowControl/>
        <w:spacing w:before="5" w:line="624" w:lineRule="exact"/>
        <w:ind w:left="34" w:firstLine="0"/>
        <w:rPr>
          <w:rStyle w:val="7"/>
          <w:lang w:val="zh-CN"/>
        </w:rPr>
      </w:pPr>
      <w:r>
        <w:rPr>
          <w:rStyle w:val="7"/>
          <w:rFonts w:hint="eastAsia"/>
          <w:lang w:val="zh-CN"/>
        </w:rPr>
        <w:t>有关规定继续使用的资金。</w:t>
      </w:r>
    </w:p>
    <w:p>
      <w:pPr>
        <w:pStyle w:val="21"/>
        <w:widowControl/>
        <w:ind w:left="696" w:firstLine="0"/>
        <w:jc w:val="left"/>
        <w:rPr>
          <w:rStyle w:val="7"/>
          <w:lang w:val="zh-CN"/>
        </w:rPr>
      </w:pPr>
      <w:r>
        <w:rPr>
          <w:rStyle w:val="7"/>
          <w:rFonts w:hint="eastAsia"/>
          <w:lang w:val="zh-CN"/>
        </w:rPr>
        <w:t>一般公共服务〔类〉财政事务〔款〕行政运行〔项》</w:t>
      </w:r>
    </w:p>
    <w:p>
      <w:pPr>
        <w:pStyle w:val="32"/>
        <w:widowControl/>
        <w:spacing w:before="5" w:line="624" w:lineRule="exact"/>
        <w:ind w:left="34" w:firstLine="0"/>
        <w:jc w:val="both"/>
        <w:rPr>
          <w:rStyle w:val="7"/>
          <w:lang w:val="zh-CN"/>
        </w:rPr>
      </w:pPr>
      <w:r>
        <w:rPr>
          <w:rStyle w:val="7"/>
          <w:rFonts w:hint="eastAsia"/>
          <w:lang w:val="zh-CN"/>
        </w:rPr>
        <w:t>指县行政单位及参照公务员法管理的事业单位用于保障机构正常运行、开展日常工作的支出。</w:t>
      </w:r>
    </w:p>
    <w:p>
      <w:pPr>
        <w:pStyle w:val="21"/>
        <w:widowControl/>
        <w:ind w:firstLine="0"/>
        <w:jc w:val="left"/>
        <w:rPr>
          <w:rStyle w:val="7"/>
          <w:lang w:val="zh-CN"/>
        </w:rPr>
      </w:pPr>
      <w:r>
        <w:rPr>
          <w:rStyle w:val="7"/>
          <w:rFonts w:hint="eastAsia"/>
          <w:lang w:val="zh-CN"/>
        </w:rPr>
        <w:t xml:space="preserve">    社会保障和就业</w:t>
      </w:r>
      <w:r>
        <w:rPr>
          <w:rStyle w:val="7"/>
          <w:rFonts w:hint="eastAsia"/>
          <w:spacing w:val="70"/>
          <w:lang w:val="zh-CN"/>
        </w:rPr>
        <w:t>（类）</w:t>
      </w:r>
      <w:r>
        <w:rPr>
          <w:rStyle w:val="7"/>
          <w:rFonts w:hint="eastAsia"/>
          <w:lang w:val="zh-CN"/>
        </w:rPr>
        <w:t>行政事业单位离退休（款）归口管理的行政单位离退休</w:t>
      </w:r>
      <w:r>
        <w:rPr>
          <w:rStyle w:val="7"/>
          <w:rFonts w:hint="eastAsia"/>
          <w:spacing w:val="70"/>
          <w:lang w:val="zh-CN"/>
        </w:rPr>
        <w:t>（项</w:t>
      </w:r>
      <w:r>
        <w:rPr>
          <w:rStyle w:val="7"/>
          <w:rFonts w:hint="eastAsia"/>
          <w:lang w:val="zh-CN"/>
        </w:rPr>
        <w:t>）：指政法行政单位离退休人员的支出。</w:t>
      </w:r>
    </w:p>
    <w:p>
      <w:pPr>
        <w:pStyle w:val="21"/>
        <w:widowControl/>
        <w:ind w:left="10" w:right="38" w:firstLine="648"/>
        <w:rPr>
          <w:rStyle w:val="7"/>
          <w:lang w:val="zh-CN"/>
        </w:rPr>
      </w:pPr>
      <w:r>
        <w:rPr>
          <w:rStyle w:val="7"/>
          <w:rFonts w:hint="eastAsia"/>
          <w:lang w:val="zh-CN"/>
        </w:rPr>
        <w:t>社会保障和就业</w:t>
      </w:r>
      <w:r>
        <w:rPr>
          <w:rStyle w:val="7"/>
          <w:rFonts w:hint="eastAsia"/>
          <w:spacing w:val="70"/>
          <w:lang w:val="zh-CN"/>
        </w:rPr>
        <w:t>（类）</w:t>
      </w:r>
      <w:r>
        <w:rPr>
          <w:rStyle w:val="7"/>
          <w:rFonts w:hint="eastAsia"/>
          <w:lang w:val="zh-CN"/>
        </w:rPr>
        <w:t>行政事业单位离退休（款）其他行政事业单位离退休支出</w:t>
      </w:r>
      <w:r>
        <w:rPr>
          <w:rStyle w:val="7"/>
          <w:rFonts w:hint="eastAsia"/>
          <w:spacing w:val="70"/>
          <w:lang w:val="zh-CN"/>
        </w:rPr>
        <w:t>（项</w:t>
      </w:r>
      <w:r>
        <w:rPr>
          <w:rStyle w:val="7"/>
          <w:rFonts w:hint="eastAsia"/>
          <w:lang w:val="zh-CN"/>
        </w:rPr>
        <w:t>）指行政事业单位离退休人员的其他支出。</w:t>
      </w:r>
    </w:p>
    <w:p>
      <w:pPr>
        <w:pStyle w:val="21"/>
        <w:widowControl/>
        <w:ind w:left="19" w:right="19" w:firstLine="648"/>
        <w:rPr>
          <w:rStyle w:val="7"/>
          <w:lang w:val="zh-CN"/>
        </w:rPr>
      </w:pPr>
      <w:r>
        <w:rPr>
          <w:rStyle w:val="7"/>
          <w:rFonts w:hint="eastAsia"/>
          <w:lang w:val="zh-CN"/>
        </w:rPr>
        <w:t>年末结转和结余：指本年度或以前年度预算安排、因客观条件发生变化无法按原计划实施，需要延迟到以后年度按有关规定继续使用的资金。</w:t>
      </w:r>
    </w:p>
    <w:p>
      <w:pPr>
        <w:pStyle w:val="21"/>
        <w:widowControl/>
        <w:spacing w:before="14"/>
        <w:ind w:left="48" w:right="19" w:firstLine="614"/>
        <w:rPr>
          <w:rStyle w:val="7"/>
          <w:lang w:val="zh-CN"/>
        </w:rPr>
      </w:pPr>
      <w:r>
        <w:rPr>
          <w:rStyle w:val="7"/>
          <w:rFonts w:hint="eastAsia"/>
          <w:lang w:val="zh-CN"/>
        </w:rPr>
        <w:t>基本支出：指为保障机构正常运转、完成日常工作任务而发生的人员支出和公用支出。</w:t>
      </w:r>
    </w:p>
    <w:p>
      <w:pPr>
        <w:pStyle w:val="21"/>
        <w:widowControl/>
        <w:spacing w:before="5"/>
        <w:ind w:left="43" w:right="24" w:firstLine="638"/>
        <w:rPr>
          <w:rStyle w:val="7"/>
          <w:lang w:val="zh-CN"/>
        </w:rPr>
      </w:pPr>
      <w:r>
        <w:rPr>
          <w:rStyle w:val="7"/>
          <w:rFonts w:hint="eastAsia"/>
          <w:lang w:val="zh-CN"/>
        </w:rPr>
        <w:t>项目支出：指在基本支出之外为完成特定行政任务和事业发展目标所发生的支出。</w:t>
      </w:r>
    </w:p>
    <w:p>
      <w:pPr>
        <w:pStyle w:val="22"/>
        <w:widowControl/>
        <w:spacing w:line="624" w:lineRule="exact"/>
        <w:ind w:left="43" w:firstLine="758"/>
        <w:rPr>
          <w:rStyle w:val="7"/>
          <w:lang w:val="zh-CN"/>
        </w:rPr>
      </w:pPr>
      <w:r>
        <w:rPr>
          <w:rStyle w:val="14"/>
          <w:rFonts w:hint="eastAsia"/>
          <w:spacing w:val="60"/>
          <w:lang w:val="zh-CN"/>
        </w:rPr>
        <w:t>"三</w:t>
      </w:r>
      <w:r>
        <w:rPr>
          <w:rStyle w:val="7"/>
          <w:rFonts w:hint="eastAsia"/>
          <w:lang w:val="zh-CN"/>
        </w:rPr>
        <w:t>公"经费：纳入县财政预决算管理的"</w:t>
      </w:r>
      <w:r>
        <w:rPr>
          <w:rStyle w:val="14"/>
          <w:rFonts w:hint="eastAsia"/>
          <w:spacing w:val="60"/>
          <w:lang w:val="zh-CN"/>
        </w:rPr>
        <w:t>三</w:t>
      </w:r>
      <w:r>
        <w:rPr>
          <w:rStyle w:val="7"/>
          <w:rFonts w:hint="eastAsia"/>
          <w:lang w:val="zh-CN"/>
        </w:rPr>
        <w:t>公"经费，是指财政部门用财政拨款安排的因公出国</w:t>
      </w:r>
      <w:r>
        <w:rPr>
          <w:rStyle w:val="7"/>
          <w:rFonts w:hint="eastAsia"/>
          <w:spacing w:val="70"/>
          <w:lang w:val="zh-CN"/>
        </w:rPr>
        <w:t>（境）</w:t>
      </w:r>
      <w:r>
        <w:rPr>
          <w:rStyle w:val="7"/>
          <w:rFonts w:hint="eastAsia"/>
          <w:lang w:val="zh-CN"/>
        </w:rPr>
        <w:t>费、公务用车购置及运行费和公务接待费。其中，因公出国</w:t>
      </w:r>
      <w:r>
        <w:rPr>
          <w:rStyle w:val="7"/>
          <w:rFonts w:hint="eastAsia"/>
          <w:spacing w:val="70"/>
          <w:lang w:val="zh-CN"/>
        </w:rPr>
        <w:t>（境）</w:t>
      </w:r>
      <w:r>
        <w:rPr>
          <w:rStyle w:val="7"/>
          <w:spacing w:val="70"/>
          <w:lang w:val="zh-CN"/>
        </w:rPr>
        <w:t xml:space="preserve"> </w:t>
      </w:r>
      <w:r>
        <w:rPr>
          <w:rStyle w:val="7"/>
          <w:rFonts w:hint="eastAsia"/>
          <w:lang w:val="zh-CN"/>
        </w:rPr>
        <w:t>费反映单位公务出国</w:t>
      </w:r>
      <w:r>
        <w:rPr>
          <w:rStyle w:val="7"/>
          <w:rFonts w:hint="eastAsia"/>
          <w:spacing w:val="70"/>
          <w:lang w:val="zh-CN"/>
        </w:rPr>
        <w:t>（境）</w:t>
      </w:r>
      <w:r>
        <w:rPr>
          <w:rStyle w:val="7"/>
          <w:rFonts w:hint="eastAsia"/>
          <w:lang w:val="zh-CN"/>
        </w:rPr>
        <w:t>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7"/>
          <w:rFonts w:hint="eastAsia"/>
          <w:spacing w:val="70"/>
          <w:lang w:val="zh-CN"/>
        </w:rPr>
        <w:t>待）</w:t>
      </w:r>
      <w:r>
        <w:rPr>
          <w:rStyle w:val="7"/>
          <w:rFonts w:hint="eastAsia"/>
          <w:lang w:val="zh-CN"/>
        </w:rPr>
        <w:t>支出。</w:t>
      </w:r>
    </w:p>
    <w:p>
      <w:pPr>
        <w:ind w:firstLine="642" w:firstLineChars="200"/>
        <w:rPr>
          <w:rStyle w:val="7"/>
          <w:spacing w:val="-10"/>
          <w:position w:val="-4"/>
          <w:lang w:val="zh-CN"/>
        </w:rPr>
      </w:pPr>
      <w:r>
        <w:rPr>
          <w:rStyle w:val="7"/>
          <w:rFonts w:hint="eastAsia"/>
          <w:lang w:val="zh-CN"/>
        </w:rPr>
        <w:t>行政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506FD"/>
    <w:multiLevelType w:val="multilevel"/>
    <w:tmpl w:val="1B2506FD"/>
    <w:lvl w:ilvl="0" w:tentative="0">
      <w:start w:val="1"/>
      <w:numFmt w:val="japaneseCounting"/>
      <w:lvlText w:val="%1、"/>
      <w:lvlJc w:val="left"/>
      <w:pPr>
        <w:ind w:left="1621" w:hanging="690"/>
      </w:pPr>
      <w:rPr>
        <w:rFonts w:hint="default"/>
        <w:b w:val="0"/>
        <w:sz w:val="32"/>
      </w:rPr>
    </w:lvl>
    <w:lvl w:ilvl="1" w:tentative="0">
      <w:start w:val="1"/>
      <w:numFmt w:val="lowerLetter"/>
      <w:lvlText w:val="%2)"/>
      <w:lvlJc w:val="left"/>
      <w:pPr>
        <w:ind w:left="1771" w:hanging="420"/>
      </w:pPr>
    </w:lvl>
    <w:lvl w:ilvl="2" w:tentative="0">
      <w:start w:val="1"/>
      <w:numFmt w:val="lowerRoman"/>
      <w:lvlText w:val="%3."/>
      <w:lvlJc w:val="right"/>
      <w:pPr>
        <w:ind w:left="2191" w:hanging="420"/>
      </w:pPr>
    </w:lvl>
    <w:lvl w:ilvl="3" w:tentative="0">
      <w:start w:val="1"/>
      <w:numFmt w:val="decimal"/>
      <w:lvlText w:val="%4."/>
      <w:lvlJc w:val="left"/>
      <w:pPr>
        <w:ind w:left="2611" w:hanging="420"/>
      </w:pPr>
    </w:lvl>
    <w:lvl w:ilvl="4" w:tentative="0">
      <w:start w:val="1"/>
      <w:numFmt w:val="lowerLetter"/>
      <w:lvlText w:val="%5)"/>
      <w:lvlJc w:val="left"/>
      <w:pPr>
        <w:ind w:left="3031" w:hanging="420"/>
      </w:pPr>
    </w:lvl>
    <w:lvl w:ilvl="5" w:tentative="0">
      <w:start w:val="1"/>
      <w:numFmt w:val="lowerRoman"/>
      <w:lvlText w:val="%6."/>
      <w:lvlJc w:val="right"/>
      <w:pPr>
        <w:ind w:left="3451" w:hanging="420"/>
      </w:pPr>
    </w:lvl>
    <w:lvl w:ilvl="6" w:tentative="0">
      <w:start w:val="1"/>
      <w:numFmt w:val="decimal"/>
      <w:lvlText w:val="%7."/>
      <w:lvlJc w:val="left"/>
      <w:pPr>
        <w:ind w:left="3871" w:hanging="420"/>
      </w:pPr>
    </w:lvl>
    <w:lvl w:ilvl="7" w:tentative="0">
      <w:start w:val="1"/>
      <w:numFmt w:val="lowerLetter"/>
      <w:lvlText w:val="%8)"/>
      <w:lvlJc w:val="left"/>
      <w:pPr>
        <w:ind w:left="4291" w:hanging="420"/>
      </w:pPr>
    </w:lvl>
    <w:lvl w:ilvl="8" w:tentative="0">
      <w:start w:val="1"/>
      <w:numFmt w:val="lowerRoman"/>
      <w:lvlText w:val="%9."/>
      <w:lvlJc w:val="right"/>
      <w:pPr>
        <w:ind w:left="4711" w:hanging="420"/>
      </w:pPr>
    </w:lvl>
  </w:abstractNum>
  <w:abstractNum w:abstractNumId="1">
    <w:nsid w:val="4F0779CC"/>
    <w:multiLevelType w:val="singleLevel"/>
    <w:tmpl w:val="4F0779CC"/>
    <w:lvl w:ilvl="0" w:tentative="0">
      <w:start w:val="1"/>
      <w:numFmt w:val="chineseCounting"/>
      <w:lvlText w:val="%1、"/>
      <w:legacy w:legacy="1" w:legacySpace="0" w:legacyIndent="638"/>
      <w:lvlJc w:val="left"/>
      <w:rPr>
        <w:rFonts w:hint="eastAsia" w:ascii="MingLiU" w:hAnsi="MingLiU" w:eastAsia="MingLiU"/>
      </w:rPr>
    </w:lvl>
  </w:abstractNum>
  <w:abstractNum w:abstractNumId="2">
    <w:nsid w:val="55B5417A"/>
    <w:multiLevelType w:val="singleLevel"/>
    <w:tmpl w:val="55B5417A"/>
    <w:lvl w:ilvl="0" w:tentative="0">
      <w:start w:val="2"/>
      <w:numFmt w:val="chineseCounting"/>
      <w:lvlText w:val="(%1）"/>
      <w:legacy w:legacy="1" w:legacySpace="0" w:legacyIndent="816"/>
      <w:lvlJc w:val="left"/>
      <w:rPr>
        <w:rFonts w:hint="eastAsia" w:ascii="宋体" w:hAnsi="宋体" w:eastAsia="宋体"/>
      </w:rPr>
    </w:lvl>
  </w:abstractNum>
  <w:abstractNum w:abstractNumId="3">
    <w:nsid w:val="70A83342"/>
    <w:multiLevelType w:val="singleLevel"/>
    <w:tmpl w:val="70A83342"/>
    <w:lvl w:ilvl="0" w:tentative="0">
      <w:start w:val="1"/>
      <w:numFmt w:val="chineseCounting"/>
      <w:lvlText w:val="%1、"/>
      <w:legacy w:legacy="1" w:legacySpace="0" w:legacyIndent="619"/>
      <w:lvlJc w:val="left"/>
      <w:rPr>
        <w:rFonts w:hint="eastAsia" w:ascii="MingLiU" w:hAnsi="MingLiU" w:eastAsia="MingLiU"/>
      </w:rPr>
    </w:lvl>
  </w:abstractNum>
  <w:num w:numId="1">
    <w:abstractNumId w:val="3"/>
  </w:num>
  <w:num w:numId="2">
    <w:abstractNumId w:val="3"/>
    <w:lvlOverride w:ilvl="0">
      <w:lvl w:ilvl="0" w:tentative="1">
        <w:start w:val="1"/>
        <w:numFmt w:val="chineseCounting"/>
        <w:lvlText w:val="%1、"/>
        <w:legacy w:legacy="1" w:legacySpace="0" w:legacyIndent="619"/>
        <w:lvlJc w:val="left"/>
        <w:rPr>
          <w:rFonts w:hint="eastAsia" w:ascii="宋体" w:hAnsi="宋体" w:eastAsia="宋体"/>
        </w:rPr>
      </w:lvl>
    </w:lvlOverride>
  </w:num>
  <w:num w:numId="3">
    <w:abstractNumId w:val="1"/>
  </w:num>
  <w:num w:numId="4">
    <w:abstractNumId w:val="1"/>
    <w:lvlOverride w:ilvl="0">
      <w:lvl w:ilvl="0" w:tentative="1">
        <w:start w:val="1"/>
        <w:numFmt w:val="chineseCounting"/>
        <w:lvlText w:val="%1、"/>
        <w:legacy w:legacy="1" w:legacySpace="0" w:legacyIndent="638"/>
        <w:lvlJc w:val="left"/>
        <w:rPr>
          <w:rFonts w:hint="eastAsia" w:ascii="宋体" w:hAnsi="宋体" w:eastAsia="宋体"/>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B64"/>
    <w:rsid w:val="00003E37"/>
    <w:rsid w:val="00014EA9"/>
    <w:rsid w:val="00096E06"/>
    <w:rsid w:val="000E2D69"/>
    <w:rsid w:val="00102117"/>
    <w:rsid w:val="001238F9"/>
    <w:rsid w:val="00131E0B"/>
    <w:rsid w:val="001375A1"/>
    <w:rsid w:val="00141B6D"/>
    <w:rsid w:val="00172F2C"/>
    <w:rsid w:val="001E2B64"/>
    <w:rsid w:val="001F47A1"/>
    <w:rsid w:val="00204E1A"/>
    <w:rsid w:val="0023173C"/>
    <w:rsid w:val="00237E3C"/>
    <w:rsid w:val="00252E8F"/>
    <w:rsid w:val="002702D4"/>
    <w:rsid w:val="00284258"/>
    <w:rsid w:val="00294506"/>
    <w:rsid w:val="00296E54"/>
    <w:rsid w:val="002971D6"/>
    <w:rsid w:val="002B1C1B"/>
    <w:rsid w:val="002E059D"/>
    <w:rsid w:val="002F25E4"/>
    <w:rsid w:val="002F365F"/>
    <w:rsid w:val="00330D7A"/>
    <w:rsid w:val="00336379"/>
    <w:rsid w:val="00353866"/>
    <w:rsid w:val="00355F0A"/>
    <w:rsid w:val="003623DD"/>
    <w:rsid w:val="0036432D"/>
    <w:rsid w:val="00387CA7"/>
    <w:rsid w:val="00397B8B"/>
    <w:rsid w:val="003E10D7"/>
    <w:rsid w:val="004A3A30"/>
    <w:rsid w:val="00514979"/>
    <w:rsid w:val="005408D1"/>
    <w:rsid w:val="0055153B"/>
    <w:rsid w:val="0055295C"/>
    <w:rsid w:val="00573B3E"/>
    <w:rsid w:val="005E1355"/>
    <w:rsid w:val="005F443D"/>
    <w:rsid w:val="00662093"/>
    <w:rsid w:val="00675A0A"/>
    <w:rsid w:val="00677982"/>
    <w:rsid w:val="006949A0"/>
    <w:rsid w:val="006F300B"/>
    <w:rsid w:val="0070066F"/>
    <w:rsid w:val="00726CE8"/>
    <w:rsid w:val="00752E0A"/>
    <w:rsid w:val="00770C8B"/>
    <w:rsid w:val="00774667"/>
    <w:rsid w:val="00785D5E"/>
    <w:rsid w:val="007D2FED"/>
    <w:rsid w:val="007D4B0C"/>
    <w:rsid w:val="008133B0"/>
    <w:rsid w:val="00815E74"/>
    <w:rsid w:val="00875B7E"/>
    <w:rsid w:val="008A5A6E"/>
    <w:rsid w:val="008B7D41"/>
    <w:rsid w:val="008D73F1"/>
    <w:rsid w:val="009772B6"/>
    <w:rsid w:val="009C7483"/>
    <w:rsid w:val="009D1BA7"/>
    <w:rsid w:val="00A023AE"/>
    <w:rsid w:val="00A2797F"/>
    <w:rsid w:val="00A928AF"/>
    <w:rsid w:val="00AB3A00"/>
    <w:rsid w:val="00AD374B"/>
    <w:rsid w:val="00AF417D"/>
    <w:rsid w:val="00B024ED"/>
    <w:rsid w:val="00B049B2"/>
    <w:rsid w:val="00B059B3"/>
    <w:rsid w:val="00B110D9"/>
    <w:rsid w:val="00B13585"/>
    <w:rsid w:val="00B50138"/>
    <w:rsid w:val="00B67D32"/>
    <w:rsid w:val="00BA0436"/>
    <w:rsid w:val="00C07E88"/>
    <w:rsid w:val="00C1150A"/>
    <w:rsid w:val="00C14322"/>
    <w:rsid w:val="00C3684A"/>
    <w:rsid w:val="00C44EED"/>
    <w:rsid w:val="00C81D2E"/>
    <w:rsid w:val="00C823E1"/>
    <w:rsid w:val="00CC1552"/>
    <w:rsid w:val="00CE60F7"/>
    <w:rsid w:val="00D0095E"/>
    <w:rsid w:val="00D11BB6"/>
    <w:rsid w:val="00D14D0C"/>
    <w:rsid w:val="00D23C38"/>
    <w:rsid w:val="00D41C37"/>
    <w:rsid w:val="00D46E3D"/>
    <w:rsid w:val="00D50C02"/>
    <w:rsid w:val="00D67440"/>
    <w:rsid w:val="00D96DEC"/>
    <w:rsid w:val="00D97965"/>
    <w:rsid w:val="00DA5AEC"/>
    <w:rsid w:val="00DE59DA"/>
    <w:rsid w:val="00DE7179"/>
    <w:rsid w:val="00E00D9F"/>
    <w:rsid w:val="00E015DC"/>
    <w:rsid w:val="00E11D19"/>
    <w:rsid w:val="00E211CB"/>
    <w:rsid w:val="00E43523"/>
    <w:rsid w:val="00E7131D"/>
    <w:rsid w:val="00E83CC1"/>
    <w:rsid w:val="00E9385A"/>
    <w:rsid w:val="00EA42A2"/>
    <w:rsid w:val="00ED6871"/>
    <w:rsid w:val="00EE6C90"/>
    <w:rsid w:val="00EF7185"/>
    <w:rsid w:val="00F322A8"/>
    <w:rsid w:val="00F85B45"/>
    <w:rsid w:val="00FD6C1B"/>
    <w:rsid w:val="73FD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semiHidden/>
    <w:unhideWhenUsed/>
    <w:uiPriority w:val="99"/>
    <w:rPr>
      <w:sz w:val="18"/>
      <w:szCs w:val="18"/>
    </w:rPr>
  </w:style>
  <w:style w:type="paragraph" w:styleId="3">
    <w:name w:val="footer"/>
    <w:basedOn w:val="1"/>
    <w:link w:val="27"/>
    <w:semiHidden/>
    <w:unhideWhenUsed/>
    <w:uiPriority w:val="99"/>
    <w:pPr>
      <w:tabs>
        <w:tab w:val="center" w:pos="4153"/>
        <w:tab w:val="right" w:pos="8306"/>
      </w:tabs>
      <w:snapToGrid w:val="0"/>
      <w:jc w:val="left"/>
    </w:pPr>
    <w:rPr>
      <w:sz w:val="18"/>
      <w:szCs w:val="18"/>
    </w:rPr>
  </w:style>
  <w:style w:type="paragraph" w:styleId="4">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 Style31"/>
    <w:basedOn w:val="6"/>
    <w:uiPriority w:val="99"/>
    <w:rPr>
      <w:rFonts w:ascii="宋体" w:eastAsia="宋体" w:cs="宋体"/>
      <w:b/>
      <w:bCs/>
      <w:spacing w:val="20"/>
      <w:sz w:val="28"/>
      <w:szCs w:val="28"/>
    </w:rPr>
  </w:style>
  <w:style w:type="character" w:customStyle="1" w:styleId="8">
    <w:name w:val="Font Style48"/>
    <w:basedOn w:val="6"/>
    <w:uiPriority w:val="99"/>
    <w:rPr>
      <w:rFonts w:ascii="黑体" w:eastAsia="黑体" w:cs="黑体"/>
      <w:b/>
      <w:bCs/>
      <w:sz w:val="32"/>
      <w:szCs w:val="32"/>
    </w:rPr>
  </w:style>
  <w:style w:type="character" w:customStyle="1" w:styleId="9">
    <w:name w:val="Font Style30"/>
    <w:basedOn w:val="6"/>
    <w:uiPriority w:val="99"/>
    <w:rPr>
      <w:rFonts w:ascii="宋体" w:eastAsia="宋体" w:cs="宋体"/>
      <w:b/>
      <w:bCs/>
      <w:sz w:val="32"/>
      <w:szCs w:val="32"/>
    </w:rPr>
  </w:style>
  <w:style w:type="paragraph" w:customStyle="1" w:styleId="10">
    <w:name w:val="Style4"/>
    <w:basedOn w:val="1"/>
    <w:uiPriority w:val="99"/>
    <w:pPr>
      <w:adjustRightInd w:val="0"/>
      <w:jc w:val="left"/>
    </w:pPr>
    <w:rPr>
      <w:rFonts w:ascii="黑体" w:eastAsia="黑体"/>
      <w:kern w:val="0"/>
      <w:sz w:val="24"/>
      <w:szCs w:val="24"/>
    </w:rPr>
  </w:style>
  <w:style w:type="character" w:customStyle="1" w:styleId="11">
    <w:name w:val="Font Style51"/>
    <w:basedOn w:val="6"/>
    <w:uiPriority w:val="99"/>
    <w:rPr>
      <w:rFonts w:ascii="MingLiU" w:eastAsia="MingLiU" w:cs="MingLiU"/>
      <w:b/>
      <w:bCs/>
      <w:spacing w:val="-30"/>
      <w:w w:val="70"/>
      <w:sz w:val="34"/>
      <w:szCs w:val="34"/>
    </w:rPr>
  </w:style>
  <w:style w:type="paragraph" w:customStyle="1" w:styleId="12">
    <w:name w:val="Style5"/>
    <w:basedOn w:val="1"/>
    <w:uiPriority w:val="99"/>
    <w:pPr>
      <w:adjustRightInd w:val="0"/>
      <w:jc w:val="left"/>
    </w:pPr>
    <w:rPr>
      <w:rFonts w:ascii="黑体" w:eastAsia="黑体"/>
      <w:kern w:val="0"/>
      <w:sz w:val="24"/>
      <w:szCs w:val="24"/>
    </w:rPr>
  </w:style>
  <w:style w:type="character" w:customStyle="1" w:styleId="13">
    <w:name w:val="Font Style33"/>
    <w:basedOn w:val="6"/>
    <w:uiPriority w:val="99"/>
    <w:rPr>
      <w:rFonts w:ascii="宋体" w:eastAsia="宋体" w:cs="宋体"/>
      <w:b/>
      <w:bCs/>
      <w:sz w:val="18"/>
      <w:szCs w:val="18"/>
    </w:rPr>
  </w:style>
  <w:style w:type="character" w:customStyle="1" w:styleId="14">
    <w:name w:val="Font Style49"/>
    <w:basedOn w:val="6"/>
    <w:uiPriority w:val="99"/>
    <w:rPr>
      <w:rFonts w:ascii="宋体" w:eastAsia="宋体" w:cs="宋体"/>
      <w:b/>
      <w:bCs/>
      <w:spacing w:val="30"/>
      <w:sz w:val="26"/>
      <w:szCs w:val="26"/>
    </w:rPr>
  </w:style>
  <w:style w:type="paragraph" w:customStyle="1" w:styleId="15">
    <w:name w:val="Style6"/>
    <w:basedOn w:val="1"/>
    <w:uiPriority w:val="99"/>
    <w:pPr>
      <w:adjustRightInd w:val="0"/>
      <w:spacing w:line="1262" w:lineRule="exact"/>
      <w:ind w:firstLine="931"/>
      <w:jc w:val="left"/>
    </w:pPr>
    <w:rPr>
      <w:rFonts w:ascii="黑体" w:eastAsia="黑体"/>
      <w:kern w:val="0"/>
      <w:sz w:val="24"/>
      <w:szCs w:val="24"/>
    </w:rPr>
  </w:style>
  <w:style w:type="paragraph" w:customStyle="1" w:styleId="16">
    <w:name w:val="Style7"/>
    <w:basedOn w:val="1"/>
    <w:uiPriority w:val="99"/>
    <w:pPr>
      <w:adjustRightInd w:val="0"/>
      <w:spacing w:line="624" w:lineRule="exact"/>
      <w:ind w:firstLine="778"/>
      <w:jc w:val="left"/>
    </w:pPr>
    <w:rPr>
      <w:rFonts w:ascii="黑体" w:eastAsia="黑体"/>
      <w:kern w:val="0"/>
      <w:sz w:val="24"/>
      <w:szCs w:val="24"/>
    </w:rPr>
  </w:style>
  <w:style w:type="paragraph" w:customStyle="1" w:styleId="17">
    <w:name w:val="Style8"/>
    <w:basedOn w:val="1"/>
    <w:uiPriority w:val="99"/>
    <w:pPr>
      <w:adjustRightInd w:val="0"/>
      <w:spacing w:line="624" w:lineRule="exact"/>
      <w:ind w:firstLine="778"/>
    </w:pPr>
    <w:rPr>
      <w:rFonts w:ascii="黑体" w:eastAsia="黑体"/>
      <w:kern w:val="0"/>
      <w:sz w:val="24"/>
      <w:szCs w:val="24"/>
    </w:rPr>
  </w:style>
  <w:style w:type="character" w:customStyle="1" w:styleId="18">
    <w:name w:val="Font Style46"/>
    <w:basedOn w:val="6"/>
    <w:uiPriority w:val="99"/>
    <w:rPr>
      <w:rFonts w:ascii="宋体" w:eastAsia="宋体" w:cs="宋体"/>
      <w:spacing w:val="-10"/>
      <w:sz w:val="32"/>
      <w:szCs w:val="32"/>
    </w:rPr>
  </w:style>
  <w:style w:type="paragraph" w:customStyle="1" w:styleId="19">
    <w:name w:val="Style9"/>
    <w:basedOn w:val="1"/>
    <w:uiPriority w:val="99"/>
    <w:pPr>
      <w:adjustRightInd w:val="0"/>
      <w:spacing w:line="624" w:lineRule="exact"/>
    </w:pPr>
    <w:rPr>
      <w:rFonts w:ascii="黑体" w:eastAsia="黑体"/>
      <w:kern w:val="0"/>
      <w:sz w:val="24"/>
      <w:szCs w:val="24"/>
    </w:rPr>
  </w:style>
  <w:style w:type="character" w:customStyle="1" w:styleId="20">
    <w:name w:val="Font Style50"/>
    <w:basedOn w:val="6"/>
    <w:uiPriority w:val="99"/>
    <w:rPr>
      <w:rFonts w:ascii="宋体" w:eastAsia="宋体" w:cs="宋体"/>
      <w:b/>
      <w:bCs/>
      <w:spacing w:val="30"/>
      <w:sz w:val="26"/>
      <w:szCs w:val="26"/>
    </w:rPr>
  </w:style>
  <w:style w:type="paragraph" w:customStyle="1" w:styleId="21">
    <w:name w:val="Style12"/>
    <w:basedOn w:val="1"/>
    <w:uiPriority w:val="99"/>
    <w:pPr>
      <w:adjustRightInd w:val="0"/>
      <w:spacing w:line="624" w:lineRule="exact"/>
      <w:ind w:firstLine="634"/>
    </w:pPr>
    <w:rPr>
      <w:rFonts w:ascii="黑体" w:eastAsia="黑体"/>
      <w:kern w:val="0"/>
      <w:sz w:val="24"/>
      <w:szCs w:val="24"/>
    </w:rPr>
  </w:style>
  <w:style w:type="paragraph" w:customStyle="1" w:styleId="22">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3">
    <w:name w:val="Font Style32"/>
    <w:basedOn w:val="6"/>
    <w:uiPriority w:val="99"/>
    <w:rPr>
      <w:rFonts w:ascii="MingLiU" w:eastAsia="MingLiU" w:cs="MingLiU"/>
      <w:b/>
      <w:bCs/>
      <w:i/>
      <w:iCs/>
      <w:spacing w:val="10"/>
      <w:sz w:val="22"/>
      <w:szCs w:val="22"/>
    </w:rPr>
  </w:style>
  <w:style w:type="paragraph" w:customStyle="1" w:styleId="24">
    <w:name w:val="Style16"/>
    <w:basedOn w:val="1"/>
    <w:uiPriority w:val="99"/>
    <w:pPr>
      <w:adjustRightInd w:val="0"/>
      <w:jc w:val="left"/>
    </w:pPr>
    <w:rPr>
      <w:rFonts w:ascii="黑体" w:eastAsia="黑体"/>
      <w:kern w:val="0"/>
      <w:sz w:val="24"/>
      <w:szCs w:val="24"/>
    </w:rPr>
  </w:style>
  <w:style w:type="character" w:customStyle="1" w:styleId="25">
    <w:name w:val="Font Style38"/>
    <w:basedOn w:val="6"/>
    <w:uiPriority w:val="99"/>
    <w:rPr>
      <w:rFonts w:ascii="宋体" w:eastAsia="宋体" w:cs="宋体"/>
      <w:b/>
      <w:bCs/>
      <w:sz w:val="30"/>
      <w:szCs w:val="30"/>
    </w:rPr>
  </w:style>
  <w:style w:type="character" w:customStyle="1" w:styleId="26">
    <w:name w:val="页眉 Char"/>
    <w:basedOn w:val="6"/>
    <w:link w:val="4"/>
    <w:uiPriority w:val="99"/>
    <w:rPr>
      <w:sz w:val="18"/>
      <w:szCs w:val="18"/>
    </w:rPr>
  </w:style>
  <w:style w:type="character" w:customStyle="1" w:styleId="27">
    <w:name w:val="页脚 Char"/>
    <w:basedOn w:val="6"/>
    <w:link w:val="3"/>
    <w:semiHidden/>
    <w:uiPriority w:val="99"/>
    <w:rPr>
      <w:sz w:val="18"/>
      <w:szCs w:val="18"/>
    </w:rPr>
  </w:style>
  <w:style w:type="character" w:customStyle="1" w:styleId="28">
    <w:name w:val="Font Style52"/>
    <w:basedOn w:val="6"/>
    <w:uiPriority w:val="99"/>
    <w:rPr>
      <w:rFonts w:ascii="宋体" w:eastAsia="宋体" w:cs="宋体"/>
      <w:b/>
      <w:bCs/>
      <w:sz w:val="30"/>
      <w:szCs w:val="30"/>
    </w:rPr>
  </w:style>
  <w:style w:type="paragraph" w:customStyle="1" w:styleId="29">
    <w:name w:val="Style15"/>
    <w:basedOn w:val="1"/>
    <w:uiPriority w:val="99"/>
    <w:pPr>
      <w:adjustRightInd w:val="0"/>
      <w:jc w:val="left"/>
    </w:pPr>
    <w:rPr>
      <w:rFonts w:ascii="黑体" w:eastAsia="黑体"/>
      <w:kern w:val="0"/>
      <w:sz w:val="24"/>
      <w:szCs w:val="24"/>
    </w:rPr>
  </w:style>
  <w:style w:type="character" w:customStyle="1" w:styleId="30">
    <w:name w:val="Font Style35"/>
    <w:basedOn w:val="6"/>
    <w:uiPriority w:val="99"/>
    <w:rPr>
      <w:rFonts w:ascii="宋体" w:eastAsia="宋体" w:cs="宋体"/>
      <w:b/>
      <w:bCs/>
      <w:i/>
      <w:iCs/>
      <w:spacing w:val="90"/>
      <w:sz w:val="30"/>
      <w:szCs w:val="30"/>
    </w:rPr>
  </w:style>
  <w:style w:type="paragraph" w:customStyle="1" w:styleId="31">
    <w:name w:val="Style2"/>
    <w:basedOn w:val="1"/>
    <w:uiPriority w:val="99"/>
    <w:pPr>
      <w:adjustRightInd w:val="0"/>
      <w:jc w:val="left"/>
    </w:pPr>
    <w:rPr>
      <w:rFonts w:ascii="黑体" w:eastAsia="黑体"/>
      <w:kern w:val="0"/>
      <w:sz w:val="24"/>
      <w:szCs w:val="24"/>
    </w:rPr>
  </w:style>
  <w:style w:type="paragraph" w:customStyle="1" w:styleId="32">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3">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4">
    <w:name w:val="Style1"/>
    <w:basedOn w:val="1"/>
    <w:uiPriority w:val="99"/>
    <w:pPr>
      <w:adjustRightInd w:val="0"/>
    </w:pPr>
    <w:rPr>
      <w:rFonts w:ascii="黑体" w:eastAsia="黑体"/>
      <w:kern w:val="0"/>
      <w:sz w:val="24"/>
      <w:szCs w:val="24"/>
    </w:rPr>
  </w:style>
  <w:style w:type="paragraph" w:styleId="35">
    <w:name w:val="List Paragraph"/>
    <w:basedOn w:val="1"/>
    <w:qFormat/>
    <w:uiPriority w:val="34"/>
    <w:pPr>
      <w:ind w:firstLine="420" w:firstLineChars="200"/>
    </w:pPr>
  </w:style>
  <w:style w:type="character" w:customStyle="1" w:styleId="36">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7D451-CF27-42C6-81D1-08ABF747C75E}">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18</Pages>
  <Words>1028</Words>
  <Characters>5860</Characters>
  <Lines>48</Lines>
  <Paragraphs>13</Paragraphs>
  <TotalTime>13</TotalTime>
  <ScaleCrop>false</ScaleCrop>
  <LinksUpToDate>false</LinksUpToDate>
  <CharactersWithSpaces>6875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2018-04-02T02:55:00Z</dcterms:created>
  <dc:creator>Chinese User</dc:creator>
  <cp:lastModifiedBy>Administrator</cp:lastModifiedBy>
  <cp:lastPrinted>2016-10-25T08:57:00Z</cp:lastPrinted>
  <dcterms:modified xsi:type="dcterms:W3CDTF">2022-03-03T02:17:34Z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625E5769B94B482DAA5395DC1C8882C7</vt:lpwstr>
  </property>
</Properties>
</file>