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spacing w:val="-10"/>
          <w:position w:val="-4"/>
          <w:lang w:val="zh-CN"/>
        </w:rPr>
      </w:pPr>
      <w:bookmarkStart w:id="3" w:name="_GoBack"/>
      <w:bookmarkEnd w:id="3"/>
    </w:p>
    <w:p>
      <w:pPr>
        <w:jc w:val="center"/>
        <w:rPr>
          <w:rStyle w:val="8"/>
          <w:spacing w:val="-10"/>
          <w:position w:val="-4"/>
          <w:lang w:val="zh-CN"/>
        </w:rPr>
      </w:pPr>
    </w:p>
    <w:p>
      <w:pPr>
        <w:jc w:val="center"/>
        <w:rPr>
          <w:rStyle w:val="8"/>
          <w:spacing w:val="-10"/>
          <w:position w:val="-4"/>
          <w:lang w:val="zh-CN"/>
        </w:rPr>
      </w:pPr>
    </w:p>
    <w:p>
      <w:pPr>
        <w:jc w:val="center"/>
        <w:rPr>
          <w:rStyle w:val="8"/>
          <w:spacing w:val="-10"/>
          <w:position w:val="-4"/>
          <w:lang w:val="zh-CN"/>
        </w:rPr>
      </w:pPr>
    </w:p>
    <w:p>
      <w:pPr>
        <w:jc w:val="center"/>
        <w:rPr>
          <w:rStyle w:val="8"/>
          <w:spacing w:val="-10"/>
          <w:position w:val="-4"/>
          <w:lang w:val="zh-CN"/>
        </w:rPr>
      </w:pPr>
    </w:p>
    <w:p>
      <w:pPr>
        <w:jc w:val="center"/>
        <w:rPr>
          <w:rStyle w:val="8"/>
          <w:spacing w:val="-10"/>
          <w:position w:val="-4"/>
          <w:lang w:val="zh-CN"/>
        </w:rPr>
      </w:pPr>
    </w:p>
    <w:p>
      <w:pPr>
        <w:jc w:val="center"/>
        <w:rPr>
          <w:rStyle w:val="8"/>
          <w:spacing w:val="-10"/>
          <w:position w:val="-4"/>
          <w:lang w:val="zh-CN"/>
        </w:rPr>
      </w:pPr>
    </w:p>
    <w:p>
      <w:pPr>
        <w:jc w:val="center"/>
        <w:rPr>
          <w:rStyle w:val="8"/>
          <w:spacing w:val="-10"/>
          <w:position w:val="-4"/>
          <w:lang w:val="zh-CN"/>
        </w:rPr>
      </w:pPr>
    </w:p>
    <w:p>
      <w:pPr>
        <w:jc w:val="center"/>
        <w:rPr>
          <w:rStyle w:val="8"/>
          <w:spacing w:val="-10"/>
          <w:position w:val="-4"/>
          <w:lang w:val="zh-CN"/>
        </w:rPr>
      </w:pPr>
    </w:p>
    <w:p>
      <w:pPr>
        <w:jc w:val="center"/>
        <w:rPr>
          <w:rStyle w:val="7"/>
          <w:spacing w:val="-10"/>
          <w:position w:val="-4"/>
          <w:sz w:val="44"/>
          <w:szCs w:val="44"/>
          <w:lang w:val="zh-CN"/>
        </w:rPr>
      </w:pPr>
      <w:r>
        <w:rPr>
          <w:rStyle w:val="8"/>
          <w:rFonts w:hint="eastAsia"/>
          <w:spacing w:val="-10"/>
          <w:position w:val="-4"/>
          <w:sz w:val="44"/>
          <w:szCs w:val="44"/>
          <w:lang w:val="zh-CN"/>
        </w:rPr>
        <w:t>2016</w:t>
      </w:r>
      <w:r>
        <w:rPr>
          <w:rStyle w:val="7"/>
          <w:rFonts w:hint="eastAsia"/>
          <w:spacing w:val="-10"/>
          <w:position w:val="-4"/>
          <w:sz w:val="44"/>
          <w:szCs w:val="44"/>
          <w:lang w:val="zh-CN"/>
        </w:rPr>
        <w:t>年度大埔县委政法委部门决算</w:t>
      </w: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pStyle w:val="34"/>
        <w:widowControl/>
        <w:jc w:val="center"/>
        <w:rPr>
          <w:rStyle w:val="7"/>
          <w:sz w:val="36"/>
          <w:szCs w:val="36"/>
          <w:lang w:val="zh-CN"/>
        </w:rPr>
      </w:pPr>
      <w:r>
        <w:rPr>
          <w:rStyle w:val="7"/>
          <w:rFonts w:hint="eastAsia"/>
          <w:sz w:val="36"/>
          <w:szCs w:val="36"/>
          <w:lang w:val="zh-CN"/>
        </w:rPr>
        <w:t>目 录</w:t>
      </w:r>
    </w:p>
    <w:p>
      <w:pPr>
        <w:pStyle w:val="34"/>
        <w:widowControl/>
        <w:jc w:val="center"/>
        <w:rPr>
          <w:rStyle w:val="7"/>
          <w:lang w:val="zh-CN"/>
        </w:rPr>
      </w:pPr>
    </w:p>
    <w:p>
      <w:pPr>
        <w:pStyle w:val="12"/>
        <w:widowControl/>
        <w:numPr>
          <w:ilvl w:val="0"/>
          <w:numId w:val="1"/>
        </w:numPr>
        <w:spacing w:line="629" w:lineRule="exact"/>
        <w:rPr>
          <w:rStyle w:val="9"/>
          <w:lang w:val="zh-CN"/>
        </w:rPr>
      </w:pPr>
      <w:r>
        <w:rPr>
          <w:rStyle w:val="8"/>
          <w:rFonts w:hint="eastAsia"/>
          <w:lang w:val="zh-CN"/>
        </w:rPr>
        <w:t>2016</w:t>
      </w:r>
      <w:r>
        <w:rPr>
          <w:rStyle w:val="9"/>
          <w:rFonts w:hint="eastAsia"/>
          <w:lang w:val="zh-CN"/>
        </w:rPr>
        <w:t>年大埔县委政法委基本情况</w:t>
      </w:r>
    </w:p>
    <w:p>
      <w:pPr>
        <w:pStyle w:val="10"/>
        <w:widowControl/>
        <w:numPr>
          <w:ilvl w:val="0"/>
          <w:numId w:val="2"/>
        </w:numPr>
        <w:tabs>
          <w:tab w:val="left" w:pos="629"/>
        </w:tabs>
        <w:spacing w:line="629" w:lineRule="exact"/>
        <w:ind w:left="10"/>
        <w:rPr>
          <w:rStyle w:val="11"/>
          <w:lang w:val="zh-CN"/>
        </w:rPr>
      </w:pPr>
      <w:r>
        <w:rPr>
          <w:rStyle w:val="7"/>
          <w:rFonts w:hint="eastAsia"/>
          <w:lang w:val="zh-CN"/>
        </w:rPr>
        <w:t>部门职责</w:t>
      </w:r>
    </w:p>
    <w:p>
      <w:pPr>
        <w:pStyle w:val="10"/>
        <w:widowControl/>
        <w:numPr>
          <w:ilvl w:val="0"/>
          <w:numId w:val="3"/>
        </w:numPr>
        <w:tabs>
          <w:tab w:val="left" w:pos="629"/>
        </w:tabs>
        <w:spacing w:line="629" w:lineRule="exact"/>
        <w:ind w:left="10"/>
        <w:rPr>
          <w:rStyle w:val="13"/>
          <w:spacing w:val="40"/>
          <w:lang w:val="zh-CN"/>
        </w:rPr>
      </w:pPr>
      <w:r>
        <w:rPr>
          <w:rStyle w:val="7"/>
          <w:rFonts w:hint="eastAsia"/>
          <w:lang w:val="zh-CN"/>
        </w:rPr>
        <w:t>机构设置</w:t>
      </w:r>
    </w:p>
    <w:p>
      <w:pPr>
        <w:pStyle w:val="12"/>
        <w:widowControl/>
        <w:spacing w:line="240" w:lineRule="exact"/>
        <w:rPr>
          <w:sz w:val="20"/>
          <w:szCs w:val="20"/>
        </w:rPr>
      </w:pPr>
    </w:p>
    <w:p>
      <w:pPr>
        <w:pStyle w:val="12"/>
        <w:widowControl/>
        <w:spacing w:line="240" w:lineRule="exact"/>
        <w:rPr>
          <w:sz w:val="20"/>
          <w:szCs w:val="20"/>
        </w:rPr>
      </w:pPr>
    </w:p>
    <w:p>
      <w:pPr>
        <w:pStyle w:val="12"/>
        <w:widowControl/>
        <w:spacing w:line="240" w:lineRule="exact"/>
        <w:rPr>
          <w:sz w:val="20"/>
          <w:szCs w:val="20"/>
        </w:rPr>
      </w:pPr>
    </w:p>
    <w:p>
      <w:pPr>
        <w:pStyle w:val="12"/>
        <w:widowControl/>
        <w:numPr>
          <w:ilvl w:val="0"/>
          <w:numId w:val="1"/>
        </w:numPr>
        <w:spacing w:before="91"/>
        <w:rPr>
          <w:rStyle w:val="9"/>
          <w:lang w:val="zh-CN"/>
        </w:rPr>
      </w:pPr>
      <w:r>
        <w:rPr>
          <w:rStyle w:val="8"/>
          <w:rFonts w:hint="eastAsia"/>
          <w:lang w:val="zh-CN"/>
        </w:rPr>
        <w:t>2016</w:t>
      </w:r>
      <w:r>
        <w:rPr>
          <w:rStyle w:val="9"/>
          <w:rFonts w:hint="eastAsia"/>
          <w:lang w:val="zh-CN"/>
        </w:rPr>
        <w:t>年大埔县委政法委部门决算表</w:t>
      </w:r>
    </w:p>
    <w:p>
      <w:pPr>
        <w:pStyle w:val="10"/>
        <w:widowControl/>
        <w:numPr>
          <w:ilvl w:val="0"/>
          <w:numId w:val="4"/>
        </w:numPr>
        <w:tabs>
          <w:tab w:val="left" w:pos="638"/>
        </w:tabs>
        <w:spacing w:before="62" w:line="624" w:lineRule="exact"/>
        <w:rPr>
          <w:rStyle w:val="11"/>
          <w:lang w:val="zh-CN"/>
        </w:rPr>
      </w:pPr>
      <w:r>
        <w:rPr>
          <w:rStyle w:val="7"/>
          <w:rFonts w:hint="eastAsia"/>
          <w:lang w:val="zh-CN"/>
        </w:rPr>
        <w:t>收入支出决算总表</w:t>
      </w:r>
    </w:p>
    <w:p>
      <w:pPr>
        <w:pStyle w:val="10"/>
        <w:widowControl/>
        <w:numPr>
          <w:ilvl w:val="0"/>
          <w:numId w:val="5"/>
        </w:numPr>
        <w:tabs>
          <w:tab w:val="left" w:pos="638"/>
        </w:tabs>
        <w:spacing w:line="624" w:lineRule="exact"/>
        <w:rPr>
          <w:rStyle w:val="13"/>
          <w:spacing w:val="40"/>
          <w:lang w:val="zh-CN"/>
        </w:rPr>
      </w:pPr>
      <w:r>
        <w:rPr>
          <w:rStyle w:val="7"/>
          <w:rFonts w:hint="eastAsia"/>
          <w:lang w:val="zh-CN"/>
        </w:rPr>
        <w:t>收入决算表</w:t>
      </w:r>
    </w:p>
    <w:p>
      <w:pPr>
        <w:pStyle w:val="10"/>
        <w:widowControl/>
        <w:numPr>
          <w:ilvl w:val="0"/>
          <w:numId w:val="5"/>
        </w:numPr>
        <w:tabs>
          <w:tab w:val="left" w:pos="638"/>
        </w:tabs>
        <w:spacing w:before="5" w:line="624" w:lineRule="exact"/>
        <w:rPr>
          <w:rStyle w:val="14"/>
          <w:lang w:val="zh-CN"/>
        </w:rPr>
      </w:pPr>
      <w:r>
        <w:rPr>
          <w:rStyle w:val="7"/>
          <w:rFonts w:hint="eastAsia"/>
          <w:lang w:val="zh-CN"/>
        </w:rPr>
        <w:t>支出决算表</w:t>
      </w:r>
    </w:p>
    <w:p>
      <w:pPr>
        <w:pStyle w:val="10"/>
        <w:widowControl/>
        <w:numPr>
          <w:ilvl w:val="0"/>
          <w:numId w:val="5"/>
        </w:numPr>
        <w:tabs>
          <w:tab w:val="left" w:pos="638"/>
        </w:tabs>
        <w:spacing w:line="624" w:lineRule="exact"/>
        <w:rPr>
          <w:rStyle w:val="7"/>
          <w:lang w:val="zh-CN"/>
        </w:rPr>
      </w:pPr>
      <w:r>
        <w:rPr>
          <w:rStyle w:val="7"/>
          <w:rFonts w:hint="eastAsia"/>
          <w:lang w:val="zh-CN"/>
        </w:rPr>
        <w:t>财政拨款收入支出决算总表</w:t>
      </w:r>
    </w:p>
    <w:p>
      <w:pPr>
        <w:pStyle w:val="10"/>
        <w:widowControl/>
        <w:numPr>
          <w:ilvl w:val="0"/>
          <w:numId w:val="5"/>
        </w:numPr>
        <w:tabs>
          <w:tab w:val="left" w:pos="638"/>
        </w:tabs>
        <w:spacing w:line="624" w:lineRule="exact"/>
        <w:rPr>
          <w:rStyle w:val="7"/>
          <w:lang w:val="zh-CN"/>
        </w:rPr>
      </w:pPr>
      <w:r>
        <w:rPr>
          <w:rStyle w:val="7"/>
          <w:rFonts w:hint="eastAsia"/>
          <w:lang w:val="zh-CN"/>
        </w:rPr>
        <w:t>一般公共预算财政拨款支出决算表</w:t>
      </w:r>
    </w:p>
    <w:p>
      <w:pPr>
        <w:pStyle w:val="10"/>
        <w:widowControl/>
        <w:numPr>
          <w:ilvl w:val="0"/>
          <w:numId w:val="5"/>
        </w:numPr>
        <w:tabs>
          <w:tab w:val="left" w:pos="638"/>
        </w:tabs>
        <w:spacing w:line="624" w:lineRule="exact"/>
        <w:rPr>
          <w:rStyle w:val="7"/>
          <w:lang w:val="zh-CN"/>
        </w:rPr>
      </w:pPr>
      <w:r>
        <w:rPr>
          <w:rStyle w:val="7"/>
          <w:rFonts w:hint="eastAsia"/>
          <w:lang w:val="zh-CN"/>
        </w:rPr>
        <w:t>一般公共预算财政拨款基本支出决算表</w:t>
      </w:r>
    </w:p>
    <w:p>
      <w:pPr>
        <w:pStyle w:val="10"/>
        <w:widowControl/>
        <w:numPr>
          <w:ilvl w:val="0"/>
          <w:numId w:val="5"/>
        </w:numPr>
        <w:tabs>
          <w:tab w:val="left" w:pos="638"/>
        </w:tabs>
        <w:spacing w:before="10" w:line="624" w:lineRule="exact"/>
        <w:jc w:val="both"/>
        <w:rPr>
          <w:rStyle w:val="7"/>
          <w:lang w:val="zh-CN"/>
        </w:rPr>
      </w:pPr>
      <w:r>
        <w:rPr>
          <w:rStyle w:val="11"/>
          <w:rFonts w:hint="eastAsia"/>
          <w:lang w:val="zh-CN"/>
        </w:rPr>
        <w:t>一</w:t>
      </w:r>
      <w:r>
        <w:rPr>
          <w:rStyle w:val="7"/>
          <w:rFonts w:hint="eastAsia"/>
          <w:lang w:val="zh-CN"/>
        </w:rPr>
        <w:t>般公共预算财政拨款“</w:t>
      </w:r>
      <w:r>
        <w:rPr>
          <w:rStyle w:val="14"/>
          <w:rFonts w:hint="eastAsia"/>
          <w:lang w:val="zh-CN"/>
        </w:rPr>
        <w:t>三</w:t>
      </w:r>
      <w:r>
        <w:rPr>
          <w:rStyle w:val="7"/>
          <w:rFonts w:hint="eastAsia"/>
          <w:lang w:val="zh-CN"/>
        </w:rPr>
        <w:t>公”经费支出决算表</w:t>
      </w:r>
    </w:p>
    <w:p>
      <w:pPr>
        <w:pStyle w:val="10"/>
        <w:widowControl/>
        <w:numPr>
          <w:ilvl w:val="0"/>
          <w:numId w:val="5"/>
        </w:numPr>
        <w:tabs>
          <w:tab w:val="left" w:pos="638"/>
        </w:tabs>
        <w:spacing w:line="624" w:lineRule="exact"/>
        <w:rPr>
          <w:rStyle w:val="7"/>
          <w:lang w:val="zh-CN"/>
        </w:rPr>
      </w:pPr>
      <w:r>
        <w:rPr>
          <w:rStyle w:val="7"/>
          <w:rFonts w:hint="eastAsia"/>
          <w:lang w:val="zh-CN"/>
        </w:rPr>
        <w:t>政府性基金预算财政拨款收入支出决算表</w:t>
      </w:r>
    </w:p>
    <w:p>
      <w:pPr>
        <w:pStyle w:val="12"/>
        <w:widowControl/>
        <w:spacing w:line="240" w:lineRule="exact"/>
        <w:ind w:left="5"/>
        <w:rPr>
          <w:sz w:val="20"/>
          <w:szCs w:val="20"/>
        </w:rPr>
      </w:pPr>
    </w:p>
    <w:p>
      <w:pPr>
        <w:pStyle w:val="12"/>
        <w:widowControl/>
        <w:spacing w:line="240" w:lineRule="exact"/>
        <w:ind w:left="5"/>
        <w:rPr>
          <w:sz w:val="20"/>
          <w:szCs w:val="20"/>
        </w:rPr>
      </w:pPr>
    </w:p>
    <w:p>
      <w:pPr>
        <w:pStyle w:val="12"/>
        <w:widowControl/>
        <w:spacing w:line="240" w:lineRule="exact"/>
        <w:ind w:left="5"/>
        <w:rPr>
          <w:sz w:val="20"/>
          <w:szCs w:val="20"/>
        </w:rPr>
      </w:pPr>
    </w:p>
    <w:p>
      <w:pPr>
        <w:pStyle w:val="12"/>
        <w:widowControl/>
        <w:numPr>
          <w:ilvl w:val="0"/>
          <w:numId w:val="1"/>
        </w:numPr>
        <w:spacing w:before="91"/>
        <w:rPr>
          <w:rStyle w:val="9"/>
          <w:lang w:val="zh-CN"/>
        </w:rPr>
      </w:pPr>
      <w:r>
        <w:rPr>
          <w:rStyle w:val="8"/>
          <w:rFonts w:hint="eastAsia"/>
          <w:lang w:val="zh-CN"/>
        </w:rPr>
        <w:t>2016</w:t>
      </w:r>
      <w:r>
        <w:rPr>
          <w:rStyle w:val="9"/>
          <w:rFonts w:hint="eastAsia"/>
          <w:lang w:val="zh-CN"/>
        </w:rPr>
        <w:t>年大埔县委政法委部门决算情况说明</w:t>
      </w:r>
    </w:p>
    <w:p>
      <w:pPr>
        <w:pStyle w:val="10"/>
        <w:widowControl/>
        <w:tabs>
          <w:tab w:val="left" w:pos="648"/>
        </w:tabs>
        <w:spacing w:before="259"/>
        <w:ind w:left="14"/>
        <w:rPr>
          <w:rStyle w:val="11"/>
          <w:lang w:val="zh-CN"/>
        </w:rPr>
      </w:pPr>
    </w:p>
    <w:p>
      <w:pPr>
        <w:rPr>
          <w:rStyle w:val="7"/>
          <w:sz w:val="30"/>
          <w:szCs w:val="30"/>
          <w:lang w:val="zh-CN"/>
        </w:rPr>
      </w:pPr>
      <w:r>
        <w:rPr>
          <w:rStyle w:val="7"/>
          <w:rFonts w:hint="eastAsia"/>
          <w:sz w:val="30"/>
          <w:szCs w:val="30"/>
          <w:lang w:val="zh-CN"/>
        </w:rPr>
        <w:t>第四部分 名词解释</w:t>
      </w:r>
    </w:p>
    <w:p>
      <w:pPr>
        <w:pStyle w:val="15"/>
        <w:widowControl/>
        <w:ind w:left="653" w:right="672"/>
        <w:rPr>
          <w:rStyle w:val="9"/>
          <w:lang w:val="zh-CN"/>
        </w:rPr>
      </w:pPr>
      <w:r>
        <w:rPr>
          <w:rStyle w:val="9"/>
          <w:rFonts w:hint="eastAsia"/>
          <w:lang w:val="zh-CN"/>
        </w:rPr>
        <w:t xml:space="preserve">第一部分 </w:t>
      </w:r>
      <w:r>
        <w:rPr>
          <w:rStyle w:val="8"/>
          <w:rFonts w:hint="eastAsia"/>
          <w:lang w:val="zh-CN"/>
        </w:rPr>
        <w:t>2016</w:t>
      </w:r>
      <w:r>
        <w:rPr>
          <w:rStyle w:val="9"/>
          <w:rFonts w:hint="eastAsia"/>
          <w:lang w:val="zh-CN"/>
        </w:rPr>
        <w:t>年大埔县委政法委基本情况</w:t>
      </w:r>
    </w:p>
    <w:p>
      <w:pPr>
        <w:pStyle w:val="15"/>
        <w:widowControl/>
        <w:numPr>
          <w:ilvl w:val="0"/>
          <w:numId w:val="6"/>
        </w:numPr>
        <w:ind w:right="672"/>
        <w:rPr>
          <w:rStyle w:val="7"/>
          <w:lang w:val="zh-CN"/>
        </w:rPr>
      </w:pPr>
      <w:r>
        <w:rPr>
          <w:rStyle w:val="7"/>
          <w:rFonts w:hint="eastAsia"/>
          <w:lang w:val="zh-CN"/>
        </w:rPr>
        <w:t>部门职责</w:t>
      </w:r>
    </w:p>
    <w:p>
      <w:pPr>
        <w:widowControl/>
        <w:spacing w:before="100" w:beforeAutospacing="1" w:after="100" w:afterAutospacing="1"/>
        <w:ind w:left="931"/>
        <w:jc w:val="left"/>
        <w:rPr>
          <w:rFonts w:ascii="仿宋_GB2312" w:hAnsi="宋体" w:eastAsia="仿宋_GB2312" w:cs="宋体"/>
          <w:kern w:val="0"/>
          <w:sz w:val="32"/>
          <w:szCs w:val="32"/>
        </w:rPr>
      </w:pPr>
      <w:r>
        <w:rPr>
          <w:rFonts w:hint="eastAsia" w:ascii="仿宋_GB2312" w:hAnsi="宋体" w:eastAsia="仿宋_GB2312" w:cs="宋体"/>
          <w:kern w:val="0"/>
          <w:sz w:val="32"/>
          <w:szCs w:val="32"/>
        </w:rPr>
        <w:t>(1)贯彻执行党的路线、方针、政策以及县委的有关决策和部署，统一政法部门的思想和行动。</w:t>
      </w:r>
    </w:p>
    <w:p>
      <w:pPr>
        <w:widowControl/>
        <w:spacing w:before="100" w:beforeAutospacing="1" w:after="100" w:afterAutospacing="1"/>
        <w:ind w:left="931"/>
        <w:jc w:val="left"/>
        <w:rPr>
          <w:rFonts w:ascii="仿宋_GB2312" w:hAnsi="宋体" w:eastAsia="仿宋_GB2312" w:cs="宋体"/>
          <w:kern w:val="0"/>
          <w:sz w:val="32"/>
          <w:szCs w:val="32"/>
        </w:rPr>
      </w:pPr>
      <w:r>
        <w:rPr>
          <w:rFonts w:hint="eastAsia" w:ascii="仿宋_GB2312" w:hAnsi="宋体" w:eastAsia="仿宋_GB2312" w:cs="宋体"/>
          <w:kern w:val="0"/>
          <w:sz w:val="32"/>
          <w:szCs w:val="32"/>
        </w:rPr>
        <w:t>(2)研究处理政法工作的重大问题并及时向县委提出建议;对一定时期的政法工作做出全局性部署并检查落实。</w:t>
      </w:r>
    </w:p>
    <w:p>
      <w:pPr>
        <w:widowControl/>
        <w:spacing w:before="100" w:beforeAutospacing="1" w:after="100" w:afterAutospacing="1"/>
        <w:ind w:left="931"/>
        <w:jc w:val="left"/>
        <w:rPr>
          <w:rFonts w:ascii="仿宋_GB2312" w:hAnsi="宋体" w:eastAsia="仿宋_GB2312" w:cs="宋体"/>
          <w:kern w:val="0"/>
          <w:sz w:val="32"/>
          <w:szCs w:val="32"/>
        </w:rPr>
      </w:pPr>
      <w:r>
        <w:rPr>
          <w:rFonts w:hint="eastAsia" w:ascii="仿宋_GB2312" w:hAnsi="宋体" w:eastAsia="仿宋_GB2312" w:cs="宋体"/>
          <w:kern w:val="0"/>
          <w:sz w:val="32"/>
          <w:szCs w:val="32"/>
        </w:rPr>
        <w:t>(3)维护政法部门依法独立行使职权;依法组织开展执法监督和指导;组织研究和讨论有争议的重大、疑难案件。</w:t>
      </w:r>
    </w:p>
    <w:p>
      <w:pPr>
        <w:widowControl/>
        <w:spacing w:before="100" w:beforeAutospacing="1" w:after="100" w:afterAutospacing="1"/>
        <w:ind w:left="931"/>
        <w:jc w:val="left"/>
        <w:rPr>
          <w:rFonts w:ascii="仿宋_GB2312" w:hAnsi="宋体" w:eastAsia="仿宋_GB2312" w:cs="宋体"/>
          <w:kern w:val="0"/>
          <w:sz w:val="32"/>
          <w:szCs w:val="32"/>
        </w:rPr>
      </w:pPr>
      <w:r>
        <w:rPr>
          <w:rFonts w:hint="eastAsia" w:ascii="仿宋_GB2312" w:hAnsi="宋体" w:eastAsia="仿宋_GB2312" w:cs="宋体"/>
          <w:kern w:val="0"/>
          <w:sz w:val="32"/>
          <w:szCs w:val="32"/>
        </w:rPr>
        <w:t>(4)研究和指导全县政法队伍建设，组织调查和协助处理抗法的重大事件，确保政法部门正常开展工作。</w:t>
      </w:r>
    </w:p>
    <w:p>
      <w:pPr>
        <w:widowControl/>
        <w:spacing w:before="100" w:beforeAutospacing="1" w:after="100" w:afterAutospacing="1"/>
        <w:ind w:left="931"/>
        <w:jc w:val="left"/>
        <w:rPr>
          <w:rFonts w:ascii="仿宋_GB2312" w:hAnsi="宋体" w:eastAsia="仿宋_GB2312" w:cs="宋体"/>
          <w:kern w:val="0"/>
          <w:sz w:val="32"/>
          <w:szCs w:val="32"/>
        </w:rPr>
      </w:pPr>
      <w:r>
        <w:rPr>
          <w:rFonts w:hint="eastAsia" w:ascii="仿宋_GB2312" w:hAnsi="宋体" w:eastAsia="仿宋_GB2312" w:cs="宋体"/>
          <w:kern w:val="0"/>
          <w:sz w:val="32"/>
          <w:szCs w:val="32"/>
        </w:rPr>
        <w:t>(5)组织、协调、指导全县维护社会稳定工作、社会管理综合治理工作、防范与处理邪教工作等。调查掌握社会管理综合治理方面的新情况、新问题;制订并检查落实社会管理综合治理的重大措施。</w:t>
      </w:r>
    </w:p>
    <w:p>
      <w:pPr>
        <w:widowControl/>
        <w:spacing w:before="100" w:beforeAutospacing="1" w:after="100" w:afterAutospacing="1"/>
        <w:ind w:left="931"/>
        <w:jc w:val="left"/>
        <w:rPr>
          <w:rStyle w:val="7"/>
          <w:lang w:val="zh-CN"/>
        </w:rPr>
      </w:pPr>
      <w:r>
        <w:rPr>
          <w:rFonts w:hint="eastAsia" w:ascii="仿宋_GB2312" w:hAnsi="宋体" w:eastAsia="仿宋_GB2312" w:cs="宋体"/>
          <w:kern w:val="0"/>
          <w:sz w:val="32"/>
          <w:szCs w:val="32"/>
        </w:rPr>
        <w:t>(6)承办县委和市委政法委、维稳办、综治办及防范办交办的其他事项。</w:t>
      </w:r>
    </w:p>
    <w:p>
      <w:pPr>
        <w:widowControl/>
        <w:spacing w:before="100" w:beforeAutospacing="1" w:after="100" w:afterAutospacing="1"/>
        <w:ind w:left="931"/>
        <w:jc w:val="left"/>
        <w:rPr>
          <w:rStyle w:val="7"/>
          <w:rFonts w:ascii="仿宋_GB2312" w:hAnsi="宋体" w:eastAsia="仿宋_GB2312"/>
          <w:b w:val="0"/>
          <w:bCs w:val="0"/>
          <w:spacing w:val="0"/>
          <w:kern w:val="0"/>
          <w:sz w:val="32"/>
          <w:szCs w:val="32"/>
        </w:rPr>
      </w:pPr>
      <w:r>
        <w:rPr>
          <w:rStyle w:val="13"/>
          <w:rFonts w:hint="eastAsia"/>
          <w:spacing w:val="40"/>
          <w:lang w:val="zh-CN"/>
        </w:rPr>
        <w:t>二、</w:t>
      </w:r>
      <w:r>
        <w:rPr>
          <w:rStyle w:val="7"/>
          <w:rFonts w:hint="eastAsia"/>
          <w:lang w:val="zh-CN"/>
        </w:rPr>
        <w:t>机构设置</w:t>
      </w:r>
    </w:p>
    <w:p>
      <w:pPr>
        <w:ind w:left="90" w:leftChars="43" w:firstLine="800" w:firstLineChars="250"/>
        <w:rPr>
          <w:rFonts w:ascii="仿宋_GB2312" w:eastAsia="仿宋_GB2312"/>
          <w:sz w:val="32"/>
          <w:szCs w:val="32"/>
        </w:rPr>
      </w:pPr>
      <w:r>
        <w:rPr>
          <w:rFonts w:hint="eastAsia" w:ascii="仿宋_GB2312" w:hAnsi="宋体" w:eastAsia="仿宋_GB2312" w:cs="宋体"/>
          <w:kern w:val="0"/>
          <w:sz w:val="32"/>
          <w:szCs w:val="32"/>
        </w:rPr>
        <w:t>县委政法委由四大板块组成，分别是综治板块、维稳板块、防邪板块、综合板块。2016年度</w:t>
      </w:r>
      <w:r>
        <w:rPr>
          <w:rFonts w:hint="eastAsia" w:ascii="宋体" w:hAnsi="宋体"/>
          <w:sz w:val="28"/>
          <w:szCs w:val="28"/>
        </w:rPr>
        <w:t>本机关共有</w:t>
      </w:r>
      <w:r>
        <w:rPr>
          <w:rFonts w:hint="eastAsia" w:ascii="仿宋_GB2312" w:eastAsia="仿宋_GB2312"/>
          <w:sz w:val="32"/>
          <w:szCs w:val="32"/>
        </w:rPr>
        <w:t>编制数27人，其中行政编制数21人，机关工勤编制数4人，事业编制数2人。年末实有在职人数27人，退休人员4人，离休人员2人。</w:t>
      </w:r>
    </w:p>
    <w:p>
      <w:pPr>
        <w:ind w:left="796" w:leftChars="379"/>
        <w:rPr>
          <w:rFonts w:ascii="宋体" w:hAnsi="宋体"/>
          <w:b/>
          <w:sz w:val="28"/>
          <w:szCs w:val="28"/>
        </w:rPr>
      </w:pPr>
    </w:p>
    <w:p>
      <w:pPr>
        <w:rPr>
          <w:rStyle w:val="7"/>
          <w:spacing w:val="-10"/>
          <w:position w:val="-4"/>
        </w:rPr>
        <w:sectPr>
          <w:footerReference r:id="rId3" w:type="default"/>
          <w:pgSz w:w="11906" w:h="16838"/>
          <w:pgMar w:top="1440" w:right="1800" w:bottom="1440" w:left="1800" w:header="851" w:footer="992" w:gutter="0"/>
          <w:cols w:space="425" w:num="1"/>
          <w:docGrid w:type="lines" w:linePitch="312" w:charSpace="0"/>
        </w:sectPr>
      </w:pPr>
    </w:p>
    <w:tbl>
      <w:tblPr>
        <w:tblStyle w:val="5"/>
        <w:tblW w:w="9231" w:type="dxa"/>
        <w:tblInd w:w="93" w:type="dxa"/>
        <w:tblLayout w:type="autofit"/>
        <w:tblCellMar>
          <w:top w:w="0" w:type="dxa"/>
          <w:left w:w="108" w:type="dxa"/>
          <w:bottom w:w="0" w:type="dxa"/>
          <w:right w:w="108" w:type="dxa"/>
        </w:tblCellMar>
      </w:tblPr>
      <w:tblGrid>
        <w:gridCol w:w="3149"/>
        <w:gridCol w:w="529"/>
        <w:gridCol w:w="923"/>
        <w:gridCol w:w="2743"/>
        <w:gridCol w:w="326"/>
        <w:gridCol w:w="436"/>
        <w:gridCol w:w="1267"/>
      </w:tblGrid>
      <w:tr>
        <w:tblPrEx>
          <w:tblCellMar>
            <w:top w:w="0" w:type="dxa"/>
            <w:left w:w="108" w:type="dxa"/>
            <w:bottom w:w="0" w:type="dxa"/>
            <w:right w:w="108" w:type="dxa"/>
          </w:tblCellMar>
        </w:tblPrEx>
        <w:trPr>
          <w:trHeight w:val="360" w:hRule="atLeast"/>
        </w:trPr>
        <w:tc>
          <w:tcPr>
            <w:tcW w:w="9231" w:type="dxa"/>
            <w:gridSpan w:val="7"/>
            <w:tcBorders>
              <w:top w:val="nil"/>
              <w:left w:val="nil"/>
              <w:bottom w:val="nil"/>
              <w:right w:val="nil"/>
            </w:tcBorders>
            <w:shd w:val="clear" w:color="auto" w:fill="auto"/>
            <w:noWrap/>
            <w:vAlign w:val="center"/>
          </w:tcPr>
          <w:p>
            <w:pPr>
              <w:widowControl/>
              <w:ind w:firstLine="800" w:firstLineChars="250"/>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第二部分  2016年大埔县委政法委部门决算表</w:t>
            </w: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一、收入支出决算总表</w:t>
            </w:r>
          </w:p>
        </w:tc>
      </w:tr>
      <w:tr>
        <w:tblPrEx>
          <w:tblCellMar>
            <w:top w:w="0" w:type="dxa"/>
            <w:left w:w="108" w:type="dxa"/>
            <w:bottom w:w="0" w:type="dxa"/>
            <w:right w:w="108" w:type="dxa"/>
          </w:tblCellMar>
        </w:tblPrEx>
        <w:trPr>
          <w:trHeight w:val="199" w:hRule="atLeast"/>
        </w:trPr>
        <w:tc>
          <w:tcPr>
            <w:tcW w:w="31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2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2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3149"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部门：大埔县委政法委</w:t>
            </w:r>
          </w:p>
        </w:tc>
        <w:tc>
          <w:tcPr>
            <w:tcW w:w="5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2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2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39" w:hRule="atLeast"/>
        </w:trPr>
        <w:tc>
          <w:tcPr>
            <w:tcW w:w="4601"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4630" w:type="dxa"/>
            <w:gridSpan w:val="4"/>
            <w:tcBorders>
              <w:top w:val="single" w:color="auto" w:sz="8" w:space="0"/>
              <w:left w:val="nil"/>
              <w:bottom w:val="single" w:color="auto" w:sz="4" w:space="0"/>
              <w:right w:val="single" w:color="000000"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92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06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2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67" w:type="dxa"/>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2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06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2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一、财政拨款收入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2"/>
              </w:rPr>
            </w:pPr>
            <w:r>
              <w:rPr>
                <w:rFonts w:hint="eastAsia" w:ascii="宋体" w:hAnsi="宋体" w:eastAsia="宋体" w:cs="宋体"/>
                <w:b/>
                <w:kern w:val="0"/>
                <w:sz w:val="22"/>
              </w:rPr>
              <w:t>382.01　</w:t>
            </w:r>
          </w:p>
        </w:tc>
        <w:tc>
          <w:tcPr>
            <w:tcW w:w="30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2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20.00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二、上级补助收入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2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三、事业收入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2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四、经营收入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2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324.80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五、附属单位上缴收入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五、社会保障和就业支出</w:t>
            </w:r>
          </w:p>
        </w:tc>
        <w:tc>
          <w:tcPr>
            <w:tcW w:w="2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44.19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六、其他收入</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12.54　</w:t>
            </w:r>
          </w:p>
        </w:tc>
        <w:tc>
          <w:tcPr>
            <w:tcW w:w="30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六、医疗卫生与计划生育支出</w:t>
            </w:r>
          </w:p>
        </w:tc>
        <w:tc>
          <w:tcPr>
            <w:tcW w:w="2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5.55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七、其他支出</w:t>
            </w:r>
          </w:p>
        </w:tc>
        <w:tc>
          <w:tcPr>
            <w:tcW w:w="2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9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069"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267"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2"/>
              </w:rPr>
            </w:pPr>
            <w:r>
              <w:rPr>
                <w:rFonts w:hint="eastAsia" w:ascii="宋体" w:hAnsi="宋体" w:eastAsia="宋体" w:cs="宋体"/>
                <w:b/>
                <w:kern w:val="0"/>
                <w:sz w:val="22"/>
              </w:rPr>
              <w:t>394.55　</w:t>
            </w:r>
          </w:p>
        </w:tc>
        <w:tc>
          <w:tcPr>
            <w:tcW w:w="3069" w:type="dxa"/>
            <w:gridSpan w:val="2"/>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2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267"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394.55</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用事业基金弥补收支差额</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69"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2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267"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69"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2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267"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nil"/>
              <w:left w:val="single" w:color="auto" w:sz="8" w:space="0"/>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923"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6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267" w:type="dxa"/>
            <w:tcBorders>
              <w:top w:val="nil"/>
              <w:left w:val="nil"/>
              <w:bottom w:val="nil"/>
              <w:right w:val="single" w:color="auto" w:sz="8"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9" w:hRule="atLeast"/>
        </w:trPr>
        <w:tc>
          <w:tcPr>
            <w:tcW w:w="3149" w:type="dxa"/>
            <w:tcBorders>
              <w:top w:val="single" w:color="auto" w:sz="4" w:space="0"/>
              <w:left w:val="single" w:color="auto" w:sz="8" w:space="0"/>
              <w:bottom w:val="single" w:color="auto" w:sz="8" w:space="0"/>
              <w:right w:val="nil"/>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923" w:type="dxa"/>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2"/>
              </w:rPr>
            </w:pPr>
            <w:r>
              <w:rPr>
                <w:rFonts w:hint="eastAsia" w:ascii="宋体" w:hAnsi="宋体" w:eastAsia="宋体" w:cs="宋体"/>
                <w:b/>
                <w:kern w:val="0"/>
                <w:sz w:val="22"/>
              </w:rPr>
              <w:t>394.55　</w:t>
            </w:r>
          </w:p>
        </w:tc>
        <w:tc>
          <w:tcPr>
            <w:tcW w:w="3069" w:type="dxa"/>
            <w:gridSpan w:val="2"/>
            <w:tcBorders>
              <w:top w:val="single" w:color="auto" w:sz="4" w:space="0"/>
              <w:left w:val="nil"/>
              <w:bottom w:val="single" w:color="auto" w:sz="8" w:space="0"/>
              <w:right w:val="nil"/>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267" w:type="dxa"/>
            <w:tcBorders>
              <w:top w:val="single" w:color="auto" w:sz="4" w:space="0"/>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394.55</w:t>
            </w:r>
          </w:p>
        </w:tc>
      </w:tr>
      <w:tr>
        <w:tblPrEx>
          <w:tblCellMar>
            <w:top w:w="0" w:type="dxa"/>
            <w:left w:w="108" w:type="dxa"/>
            <w:bottom w:w="0" w:type="dxa"/>
            <w:right w:w="108" w:type="dxa"/>
          </w:tblCellMar>
        </w:tblPrEx>
        <w:trPr>
          <w:trHeight w:val="585" w:hRule="atLeast"/>
        </w:trPr>
        <w:tc>
          <w:tcPr>
            <w:tcW w:w="9231" w:type="dxa"/>
            <w:gridSpan w:val="7"/>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注：本表反映部门本年度的总收支和年末结转结余情况。</w:t>
            </w:r>
          </w:p>
        </w:tc>
      </w:tr>
    </w:tbl>
    <w:p>
      <w:pPr>
        <w:rPr>
          <w:rStyle w:val="7"/>
          <w:spacing w:val="-10"/>
          <w:position w:val="-4"/>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pPr>
    </w:p>
    <w:p>
      <w:pPr>
        <w:rPr>
          <w:rStyle w:val="7"/>
          <w:spacing w:val="-10"/>
          <w:position w:val="-4"/>
          <w:lang w:val="zh-CN"/>
        </w:rPr>
        <w:sectPr>
          <w:pgSz w:w="11906" w:h="16838"/>
          <w:pgMar w:top="1440" w:right="1800" w:bottom="1440" w:left="1800" w:header="851" w:footer="992" w:gutter="0"/>
          <w:cols w:space="425" w:num="1"/>
          <w:docGrid w:type="lines" w:linePitch="312" w:charSpace="0"/>
        </w:sectPr>
      </w:pPr>
    </w:p>
    <w:tbl>
      <w:tblPr>
        <w:tblStyle w:val="5"/>
        <w:tblW w:w="14761" w:type="dxa"/>
        <w:tblInd w:w="93" w:type="dxa"/>
        <w:tblLayout w:type="autofit"/>
        <w:tblCellMar>
          <w:top w:w="0" w:type="dxa"/>
          <w:left w:w="108" w:type="dxa"/>
          <w:bottom w:w="0" w:type="dxa"/>
          <w:right w:w="108" w:type="dxa"/>
        </w:tblCellMar>
      </w:tblPr>
      <w:tblGrid>
        <w:gridCol w:w="315"/>
        <w:gridCol w:w="315"/>
        <w:gridCol w:w="412"/>
        <w:gridCol w:w="107"/>
        <w:gridCol w:w="115"/>
        <w:gridCol w:w="14"/>
        <w:gridCol w:w="2139"/>
        <w:gridCol w:w="942"/>
        <w:gridCol w:w="676"/>
        <w:gridCol w:w="1003"/>
        <w:gridCol w:w="245"/>
        <w:gridCol w:w="1114"/>
        <w:gridCol w:w="320"/>
        <w:gridCol w:w="1356"/>
        <w:gridCol w:w="323"/>
        <w:gridCol w:w="997"/>
        <w:gridCol w:w="682"/>
        <w:gridCol w:w="1586"/>
        <w:gridCol w:w="1560"/>
        <w:gridCol w:w="546"/>
      </w:tblGrid>
      <w:tr>
        <w:tblPrEx>
          <w:tblCellMar>
            <w:top w:w="0" w:type="dxa"/>
            <w:left w:w="108" w:type="dxa"/>
            <w:bottom w:w="0" w:type="dxa"/>
            <w:right w:w="108" w:type="dxa"/>
          </w:tblCellMar>
        </w:tblPrEx>
        <w:trPr>
          <w:trHeight w:val="435" w:hRule="atLeast"/>
        </w:trPr>
        <w:tc>
          <w:tcPr>
            <w:tcW w:w="14761" w:type="dxa"/>
            <w:gridSpan w:val="2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收入决算表</w:t>
            </w:r>
          </w:p>
        </w:tc>
      </w:tr>
      <w:tr>
        <w:tblPrEx>
          <w:tblCellMar>
            <w:top w:w="0" w:type="dxa"/>
            <w:left w:w="108" w:type="dxa"/>
            <w:bottom w:w="0" w:type="dxa"/>
            <w:right w:w="108" w:type="dxa"/>
          </w:tblCellMar>
        </w:tblPrEx>
        <w:trPr>
          <w:trHeight w:val="285" w:hRule="atLeast"/>
        </w:trPr>
        <w:tc>
          <w:tcPr>
            <w:tcW w:w="3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87"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1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6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0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公开02表</w:t>
            </w:r>
          </w:p>
        </w:tc>
      </w:tr>
      <w:tr>
        <w:tblPrEx>
          <w:tblCellMar>
            <w:top w:w="0" w:type="dxa"/>
            <w:left w:w="108" w:type="dxa"/>
            <w:bottom w:w="0" w:type="dxa"/>
            <w:right w:w="108" w:type="dxa"/>
          </w:tblCellMar>
        </w:tblPrEx>
        <w:trPr>
          <w:trHeight w:val="300" w:hRule="atLeast"/>
        </w:trPr>
        <w:tc>
          <w:tcPr>
            <w:tcW w:w="63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787"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1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14"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6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0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00" w:hRule="atLeast"/>
        </w:trPr>
        <w:tc>
          <w:tcPr>
            <w:tcW w:w="3417" w:type="dxa"/>
            <w:gridSpan w:val="7"/>
            <w:tcBorders>
              <w:top w:val="single" w:color="auto" w:sz="8" w:space="0"/>
              <w:left w:val="single" w:color="auto" w:sz="8" w:space="0"/>
              <w:bottom w:val="single" w:color="auto" w:sz="4" w:space="0"/>
              <w:right w:val="nil"/>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12"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本年收入合计</w:t>
            </w:r>
          </w:p>
        </w:tc>
        <w:tc>
          <w:tcPr>
            <w:tcW w:w="1248" w:type="dxa"/>
            <w:gridSpan w:val="2"/>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财政拨款收入</w:t>
            </w:r>
          </w:p>
        </w:tc>
        <w:tc>
          <w:tcPr>
            <w:tcW w:w="1114"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上级补助收入</w:t>
            </w:r>
          </w:p>
        </w:tc>
        <w:tc>
          <w:tcPr>
            <w:tcW w:w="1676"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事业收入</w:t>
            </w:r>
          </w:p>
        </w:tc>
        <w:tc>
          <w:tcPr>
            <w:tcW w:w="1320"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经营收入</w:t>
            </w:r>
          </w:p>
        </w:tc>
        <w:tc>
          <w:tcPr>
            <w:tcW w:w="2268"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附属单位上缴收入</w:t>
            </w:r>
          </w:p>
        </w:tc>
        <w:tc>
          <w:tcPr>
            <w:tcW w:w="2106" w:type="dxa"/>
            <w:gridSpan w:val="2"/>
            <w:vMerge w:val="restart"/>
            <w:tcBorders>
              <w:top w:val="single" w:color="auto" w:sz="8" w:space="0"/>
              <w:left w:val="single" w:color="auto" w:sz="4" w:space="0"/>
              <w:bottom w:val="single" w:color="000000" w:sz="4" w:space="0"/>
              <w:right w:val="single" w:color="auto" w:sz="8"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其他收入</w:t>
            </w:r>
          </w:p>
        </w:tc>
      </w:tr>
      <w:tr>
        <w:tblPrEx>
          <w:tblCellMar>
            <w:top w:w="0" w:type="dxa"/>
            <w:left w:w="108" w:type="dxa"/>
            <w:bottom w:w="0" w:type="dxa"/>
            <w:right w:w="108" w:type="dxa"/>
          </w:tblCellMar>
        </w:tblPrEx>
        <w:trPr>
          <w:trHeight w:val="312" w:hRule="atLeast"/>
        </w:trPr>
        <w:tc>
          <w:tcPr>
            <w:tcW w:w="1042" w:type="dxa"/>
            <w:gridSpan w:val="3"/>
            <w:vMerge w:val="restart"/>
            <w:tcBorders>
              <w:top w:val="single" w:color="auto" w:sz="4" w:space="0"/>
              <w:left w:val="single" w:color="auto" w:sz="8" w:space="0"/>
              <w:bottom w:val="single" w:color="000000" w:sz="4" w:space="0"/>
              <w:right w:val="nil"/>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功能分类科目编码</w:t>
            </w:r>
          </w:p>
        </w:tc>
        <w:tc>
          <w:tcPr>
            <w:tcW w:w="2375" w:type="dxa"/>
            <w:gridSpan w:val="4"/>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12"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48"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11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320"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268"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106"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042" w:type="dxa"/>
            <w:gridSpan w:val="3"/>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eastAsia="宋体" w:cs="宋体"/>
                <w:kern w:val="0"/>
                <w:sz w:val="24"/>
                <w:szCs w:val="24"/>
              </w:rPr>
            </w:pPr>
          </w:p>
        </w:tc>
        <w:tc>
          <w:tcPr>
            <w:tcW w:w="2375"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12"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48"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11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320"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268"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106"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3417" w:type="dxa"/>
            <w:gridSpan w:val="7"/>
            <w:tcBorders>
              <w:top w:val="single" w:color="auto" w:sz="4" w:space="0"/>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1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4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11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2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6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106"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r>
      <w:tr>
        <w:tblPrEx>
          <w:tblCellMar>
            <w:top w:w="0" w:type="dxa"/>
            <w:left w:w="108" w:type="dxa"/>
            <w:bottom w:w="0" w:type="dxa"/>
            <w:right w:w="108" w:type="dxa"/>
          </w:tblCellMar>
        </w:tblPrEx>
        <w:trPr>
          <w:trHeight w:val="450" w:hRule="atLeast"/>
        </w:trPr>
        <w:tc>
          <w:tcPr>
            <w:tcW w:w="3417" w:type="dxa"/>
            <w:gridSpan w:val="7"/>
            <w:tcBorders>
              <w:top w:val="nil"/>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合计</w:t>
            </w:r>
          </w:p>
        </w:tc>
        <w:tc>
          <w:tcPr>
            <w:tcW w:w="161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394.55</w:t>
            </w:r>
          </w:p>
        </w:tc>
        <w:tc>
          <w:tcPr>
            <w:tcW w:w="12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382.01</w:t>
            </w:r>
          </w:p>
        </w:tc>
        <w:tc>
          <w:tcPr>
            <w:tcW w:w="11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0.00</w:t>
            </w:r>
          </w:p>
        </w:tc>
        <w:tc>
          <w:tcPr>
            <w:tcW w:w="1676" w:type="dxa"/>
            <w:gridSpan w:val="2"/>
            <w:tcBorders>
              <w:top w:val="nil"/>
              <w:left w:val="nil"/>
              <w:bottom w:val="single" w:color="auto" w:sz="4" w:space="0"/>
              <w:right w:val="single" w:color="auto" w:sz="4" w:space="0"/>
            </w:tcBorders>
            <w:shd w:val="clear" w:color="auto" w:fill="auto"/>
            <w:noWrap/>
            <w:vAlign w:val="center"/>
          </w:tcPr>
          <w:p>
            <w:pPr>
              <w:jc w:val="center"/>
              <w:rPr>
                <w:b/>
              </w:rPr>
            </w:pPr>
            <w:r>
              <w:rPr>
                <w:rFonts w:hint="eastAsia" w:ascii="宋体" w:hAnsi="宋体" w:eastAsia="宋体" w:cs="宋体"/>
                <w:b/>
                <w:kern w:val="0"/>
                <w:sz w:val="24"/>
                <w:szCs w:val="24"/>
              </w:rPr>
              <w:t>0.00</w:t>
            </w:r>
          </w:p>
        </w:tc>
        <w:tc>
          <w:tcPr>
            <w:tcW w:w="1320" w:type="dxa"/>
            <w:gridSpan w:val="2"/>
            <w:tcBorders>
              <w:top w:val="nil"/>
              <w:left w:val="nil"/>
              <w:bottom w:val="single" w:color="auto" w:sz="4" w:space="0"/>
              <w:right w:val="single" w:color="auto" w:sz="4" w:space="0"/>
            </w:tcBorders>
            <w:shd w:val="clear" w:color="auto" w:fill="auto"/>
            <w:noWrap/>
            <w:vAlign w:val="center"/>
          </w:tcPr>
          <w:p>
            <w:pPr>
              <w:jc w:val="center"/>
              <w:rPr>
                <w:b/>
              </w:rPr>
            </w:pPr>
            <w:r>
              <w:rPr>
                <w:rFonts w:hint="eastAsia" w:ascii="宋体" w:hAnsi="宋体" w:eastAsia="宋体" w:cs="宋体"/>
                <w:b/>
                <w:kern w:val="0"/>
                <w:sz w:val="24"/>
                <w:szCs w:val="24"/>
              </w:rPr>
              <w:t>0.00</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rPr>
                <w:b/>
              </w:rPr>
            </w:pPr>
            <w:r>
              <w:rPr>
                <w:rFonts w:hint="eastAsia" w:ascii="宋体" w:hAnsi="宋体" w:eastAsia="宋体" w:cs="宋体"/>
                <w:b/>
                <w:kern w:val="0"/>
                <w:sz w:val="24"/>
                <w:szCs w:val="24"/>
              </w:rPr>
              <w:t>0.00</w:t>
            </w:r>
          </w:p>
        </w:tc>
        <w:tc>
          <w:tcPr>
            <w:tcW w:w="2106"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12.54</w:t>
            </w:r>
          </w:p>
        </w:tc>
      </w:tr>
      <w:tr>
        <w:tblPrEx>
          <w:tblCellMar>
            <w:top w:w="0" w:type="dxa"/>
            <w:left w:w="108" w:type="dxa"/>
            <w:bottom w:w="0" w:type="dxa"/>
            <w:right w:w="108" w:type="dxa"/>
          </w:tblCellMar>
        </w:tblPrEx>
        <w:trPr>
          <w:trHeight w:val="450" w:hRule="atLeast"/>
        </w:trPr>
        <w:tc>
          <w:tcPr>
            <w:tcW w:w="1149" w:type="dxa"/>
            <w:gridSpan w:val="4"/>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2013199</w:t>
            </w:r>
          </w:p>
        </w:tc>
        <w:tc>
          <w:tcPr>
            <w:tcW w:w="226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其他党委办公厅（室）及相关机构事务支出</w:t>
            </w:r>
          </w:p>
        </w:tc>
        <w:tc>
          <w:tcPr>
            <w:tcW w:w="161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12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11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1676"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320"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2106" w:type="dxa"/>
            <w:gridSpan w:val="2"/>
            <w:tcBorders>
              <w:top w:val="nil"/>
              <w:left w:val="nil"/>
              <w:bottom w:val="single" w:color="auto" w:sz="4" w:space="0"/>
              <w:right w:val="single" w:color="auto" w:sz="8"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450" w:hRule="atLeast"/>
        </w:trPr>
        <w:tc>
          <w:tcPr>
            <w:tcW w:w="1149" w:type="dxa"/>
            <w:gridSpan w:val="4"/>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204</w:t>
            </w:r>
          </w:p>
        </w:tc>
        <w:tc>
          <w:tcPr>
            <w:tcW w:w="226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公共安全支出</w:t>
            </w:r>
          </w:p>
        </w:tc>
        <w:tc>
          <w:tcPr>
            <w:tcW w:w="161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324.80</w:t>
            </w:r>
          </w:p>
        </w:tc>
        <w:tc>
          <w:tcPr>
            <w:tcW w:w="12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312.26</w:t>
            </w:r>
          </w:p>
        </w:tc>
        <w:tc>
          <w:tcPr>
            <w:tcW w:w="11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1676"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320"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2106" w:type="dxa"/>
            <w:gridSpan w:val="2"/>
            <w:tcBorders>
              <w:top w:val="nil"/>
              <w:left w:val="nil"/>
              <w:bottom w:val="single" w:color="auto" w:sz="4" w:space="0"/>
              <w:right w:val="single" w:color="auto" w:sz="8"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12.54</w:t>
            </w:r>
          </w:p>
        </w:tc>
      </w:tr>
      <w:tr>
        <w:tblPrEx>
          <w:tblCellMar>
            <w:top w:w="0" w:type="dxa"/>
            <w:left w:w="108" w:type="dxa"/>
            <w:bottom w:w="0" w:type="dxa"/>
            <w:right w:w="108" w:type="dxa"/>
          </w:tblCellMar>
        </w:tblPrEx>
        <w:trPr>
          <w:trHeight w:val="450" w:hRule="atLeast"/>
        </w:trPr>
        <w:tc>
          <w:tcPr>
            <w:tcW w:w="1149" w:type="dxa"/>
            <w:gridSpan w:val="4"/>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20402</w:t>
            </w:r>
          </w:p>
        </w:tc>
        <w:tc>
          <w:tcPr>
            <w:tcW w:w="226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公安</w:t>
            </w:r>
          </w:p>
        </w:tc>
        <w:tc>
          <w:tcPr>
            <w:tcW w:w="161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298.80</w:t>
            </w:r>
          </w:p>
        </w:tc>
        <w:tc>
          <w:tcPr>
            <w:tcW w:w="12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286.26</w:t>
            </w:r>
          </w:p>
        </w:tc>
        <w:tc>
          <w:tcPr>
            <w:tcW w:w="11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1676"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320"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2106" w:type="dxa"/>
            <w:gridSpan w:val="2"/>
            <w:tcBorders>
              <w:top w:val="nil"/>
              <w:left w:val="nil"/>
              <w:bottom w:val="single" w:color="auto" w:sz="4" w:space="0"/>
              <w:right w:val="single" w:color="auto" w:sz="8"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12.54</w:t>
            </w:r>
          </w:p>
        </w:tc>
      </w:tr>
      <w:tr>
        <w:tblPrEx>
          <w:tblCellMar>
            <w:top w:w="0" w:type="dxa"/>
            <w:left w:w="108" w:type="dxa"/>
            <w:bottom w:w="0" w:type="dxa"/>
            <w:right w:w="108" w:type="dxa"/>
          </w:tblCellMar>
        </w:tblPrEx>
        <w:trPr>
          <w:trHeight w:val="450" w:hRule="atLeast"/>
        </w:trPr>
        <w:tc>
          <w:tcPr>
            <w:tcW w:w="1149" w:type="dxa"/>
            <w:gridSpan w:val="4"/>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2040201</w:t>
            </w:r>
          </w:p>
        </w:tc>
        <w:tc>
          <w:tcPr>
            <w:tcW w:w="2268" w:type="dxa"/>
            <w:gridSpan w:val="3"/>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行政运行</w:t>
            </w:r>
          </w:p>
        </w:tc>
        <w:tc>
          <w:tcPr>
            <w:tcW w:w="161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293.30</w:t>
            </w:r>
          </w:p>
        </w:tc>
        <w:tc>
          <w:tcPr>
            <w:tcW w:w="12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280.76</w:t>
            </w:r>
          </w:p>
        </w:tc>
        <w:tc>
          <w:tcPr>
            <w:tcW w:w="1114" w:type="dxa"/>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676"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320"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2106" w:type="dxa"/>
            <w:gridSpan w:val="2"/>
            <w:tcBorders>
              <w:top w:val="nil"/>
              <w:left w:val="nil"/>
              <w:bottom w:val="single" w:color="auto" w:sz="4" w:space="0"/>
              <w:right w:val="single" w:color="auto" w:sz="8" w:space="0"/>
            </w:tcBorders>
            <w:shd w:val="clear" w:color="auto" w:fill="auto"/>
            <w:noWrap/>
            <w:vAlign w:val="center"/>
          </w:tcPr>
          <w:p>
            <w:pPr>
              <w:jc w:val="center"/>
            </w:pPr>
            <w:r>
              <w:rPr>
                <w:rFonts w:hint="eastAsia" w:ascii="宋体" w:hAnsi="宋体" w:eastAsia="宋体" w:cs="宋体"/>
                <w:kern w:val="0"/>
                <w:sz w:val="24"/>
                <w:szCs w:val="24"/>
              </w:rPr>
              <w:t>12.54</w:t>
            </w:r>
          </w:p>
        </w:tc>
      </w:tr>
      <w:tr>
        <w:tblPrEx>
          <w:tblCellMar>
            <w:top w:w="0" w:type="dxa"/>
            <w:left w:w="108" w:type="dxa"/>
            <w:bottom w:w="0" w:type="dxa"/>
            <w:right w:w="108" w:type="dxa"/>
          </w:tblCellMar>
        </w:tblPrEx>
        <w:trPr>
          <w:trHeight w:val="450" w:hRule="atLeast"/>
        </w:trPr>
        <w:tc>
          <w:tcPr>
            <w:tcW w:w="1149" w:type="dxa"/>
            <w:gridSpan w:val="4"/>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2040210</w:t>
            </w:r>
          </w:p>
        </w:tc>
        <w:tc>
          <w:tcPr>
            <w:tcW w:w="226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防范和处理邪教犯罪</w:t>
            </w:r>
          </w:p>
        </w:tc>
        <w:tc>
          <w:tcPr>
            <w:tcW w:w="161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中宋" w:eastAsia="仿宋_GB2312" w:cs="宋体"/>
                <w:kern w:val="0"/>
                <w:sz w:val="24"/>
                <w:szCs w:val="24"/>
              </w:rPr>
            </w:pPr>
            <w:r>
              <w:rPr>
                <w:rFonts w:hint="eastAsia" w:ascii="仿宋_GB2312" w:hAnsi="华文中宋" w:eastAsia="仿宋_GB2312" w:cs="宋体"/>
                <w:kern w:val="0"/>
                <w:sz w:val="24"/>
                <w:szCs w:val="24"/>
              </w:rPr>
              <w:t>5.50</w:t>
            </w:r>
          </w:p>
        </w:tc>
        <w:tc>
          <w:tcPr>
            <w:tcW w:w="12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5.50</w:t>
            </w:r>
          </w:p>
        </w:tc>
        <w:tc>
          <w:tcPr>
            <w:tcW w:w="111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167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132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2106" w:type="dxa"/>
            <w:gridSpan w:val="2"/>
            <w:tcBorders>
              <w:top w:val="nil"/>
              <w:left w:val="nil"/>
              <w:bottom w:val="single" w:color="auto" w:sz="4" w:space="0"/>
              <w:right w:val="single" w:color="auto" w:sz="8"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450" w:hRule="atLeast"/>
        </w:trPr>
        <w:tc>
          <w:tcPr>
            <w:tcW w:w="1149" w:type="dxa"/>
            <w:gridSpan w:val="4"/>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2049901</w:t>
            </w:r>
          </w:p>
        </w:tc>
        <w:tc>
          <w:tcPr>
            <w:tcW w:w="226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其他公共安全支出 　</w:t>
            </w:r>
          </w:p>
        </w:tc>
        <w:tc>
          <w:tcPr>
            <w:tcW w:w="161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中宋" w:eastAsia="仿宋_GB2312" w:cs="宋体"/>
                <w:kern w:val="0"/>
                <w:sz w:val="24"/>
                <w:szCs w:val="24"/>
              </w:rPr>
            </w:pPr>
            <w:r>
              <w:rPr>
                <w:rFonts w:hint="eastAsia" w:ascii="仿宋_GB2312" w:hAnsi="华文中宋" w:eastAsia="仿宋_GB2312" w:cs="宋体"/>
                <w:kern w:val="0"/>
                <w:sz w:val="24"/>
                <w:szCs w:val="24"/>
              </w:rPr>
              <w:t>26.00</w:t>
            </w:r>
          </w:p>
        </w:tc>
        <w:tc>
          <w:tcPr>
            <w:tcW w:w="12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26.00</w:t>
            </w:r>
          </w:p>
        </w:tc>
        <w:tc>
          <w:tcPr>
            <w:tcW w:w="1114" w:type="dxa"/>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676"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320"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2106" w:type="dxa"/>
            <w:gridSpan w:val="2"/>
            <w:tcBorders>
              <w:top w:val="nil"/>
              <w:left w:val="nil"/>
              <w:bottom w:val="single" w:color="auto" w:sz="4" w:space="0"/>
              <w:right w:val="single" w:color="auto" w:sz="8" w:space="0"/>
            </w:tcBorders>
            <w:shd w:val="clear" w:color="auto" w:fill="auto"/>
            <w:noWrap/>
            <w:vAlign w:val="center"/>
          </w:tcPr>
          <w:p>
            <w:pPr>
              <w:jc w:val="cente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450" w:hRule="atLeast"/>
        </w:trPr>
        <w:tc>
          <w:tcPr>
            <w:tcW w:w="1149" w:type="dxa"/>
            <w:gridSpan w:val="4"/>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2080501</w:t>
            </w:r>
          </w:p>
        </w:tc>
        <w:tc>
          <w:tcPr>
            <w:tcW w:w="226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归口管理的行政单位离退休</w:t>
            </w:r>
          </w:p>
        </w:tc>
        <w:tc>
          <w:tcPr>
            <w:tcW w:w="161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44.19</w:t>
            </w:r>
          </w:p>
        </w:tc>
        <w:tc>
          <w:tcPr>
            <w:tcW w:w="12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44.19</w:t>
            </w:r>
          </w:p>
        </w:tc>
        <w:tc>
          <w:tcPr>
            <w:tcW w:w="1114" w:type="dxa"/>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676"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320"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2106" w:type="dxa"/>
            <w:gridSpan w:val="2"/>
            <w:tcBorders>
              <w:top w:val="nil"/>
              <w:left w:val="nil"/>
              <w:bottom w:val="single" w:color="auto" w:sz="4" w:space="0"/>
              <w:right w:val="single" w:color="auto" w:sz="8" w:space="0"/>
            </w:tcBorders>
            <w:shd w:val="clear" w:color="auto" w:fill="auto"/>
            <w:noWrap/>
            <w:vAlign w:val="center"/>
          </w:tcPr>
          <w:p>
            <w:pPr>
              <w:jc w:val="cente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450" w:hRule="atLeast"/>
        </w:trPr>
        <w:tc>
          <w:tcPr>
            <w:tcW w:w="1149" w:type="dxa"/>
            <w:gridSpan w:val="4"/>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2100501</w:t>
            </w:r>
          </w:p>
        </w:tc>
        <w:tc>
          <w:tcPr>
            <w:tcW w:w="226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行政单位医疗　</w:t>
            </w:r>
          </w:p>
        </w:tc>
        <w:tc>
          <w:tcPr>
            <w:tcW w:w="161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5.55</w:t>
            </w:r>
          </w:p>
        </w:tc>
        <w:tc>
          <w:tcPr>
            <w:tcW w:w="12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5.55</w:t>
            </w:r>
          </w:p>
        </w:tc>
        <w:tc>
          <w:tcPr>
            <w:tcW w:w="1114" w:type="dxa"/>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676"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320"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2106" w:type="dxa"/>
            <w:gridSpan w:val="2"/>
            <w:tcBorders>
              <w:top w:val="nil"/>
              <w:left w:val="nil"/>
              <w:bottom w:val="single" w:color="auto" w:sz="4" w:space="0"/>
              <w:right w:val="single" w:color="auto" w:sz="8" w:space="0"/>
            </w:tcBorders>
            <w:shd w:val="clear" w:color="auto" w:fill="auto"/>
            <w:noWrap/>
            <w:vAlign w:val="center"/>
          </w:tcPr>
          <w:p>
            <w:pPr>
              <w:jc w:val="cente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615" w:hRule="atLeast"/>
        </w:trPr>
        <w:tc>
          <w:tcPr>
            <w:tcW w:w="14761" w:type="dxa"/>
            <w:gridSpan w:val="20"/>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注：本表反映部门本年度取得的各项收入情况。</w:t>
            </w:r>
          </w:p>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15" w:hRule="atLeast"/>
        </w:trPr>
        <w:tc>
          <w:tcPr>
            <w:tcW w:w="14761" w:type="dxa"/>
            <w:gridSpan w:val="20"/>
            <w:tcBorders>
              <w:top w:val="single" w:color="auto" w:sz="8" w:space="0"/>
              <w:left w:val="nil"/>
              <w:bottom w:val="nil"/>
              <w:right w:val="nil"/>
            </w:tcBorders>
            <w:shd w:val="clear" w:color="auto" w:fill="auto"/>
            <w:vAlign w:val="center"/>
          </w:tcPr>
          <w:p>
            <w:pPr>
              <w:widowControl/>
              <w:jc w:val="center"/>
              <w:rPr>
                <w:rFonts w:ascii="宋体" w:hAnsi="宋体" w:eastAsia="宋体" w:cs="宋体"/>
                <w:kern w:val="0"/>
                <w:sz w:val="30"/>
                <w:szCs w:val="30"/>
              </w:rPr>
            </w:pPr>
          </w:p>
          <w:p>
            <w:pPr>
              <w:widowControl/>
              <w:jc w:val="center"/>
              <w:rPr>
                <w:rFonts w:ascii="宋体" w:hAnsi="宋体" w:eastAsia="宋体" w:cs="宋体"/>
                <w:kern w:val="0"/>
                <w:sz w:val="30"/>
                <w:szCs w:val="30"/>
              </w:rPr>
            </w:pPr>
            <w:r>
              <w:rPr>
                <w:rFonts w:hint="eastAsia" w:ascii="宋体" w:hAnsi="宋体" w:eastAsia="宋体" w:cs="宋体"/>
                <w:kern w:val="0"/>
                <w:sz w:val="30"/>
                <w:szCs w:val="30"/>
              </w:rPr>
              <w:t>支出决算表</w:t>
            </w:r>
          </w:p>
        </w:tc>
      </w:tr>
      <w:tr>
        <w:tblPrEx>
          <w:tblCellMar>
            <w:top w:w="0" w:type="dxa"/>
            <w:left w:w="108" w:type="dxa"/>
            <w:bottom w:w="0" w:type="dxa"/>
            <w:right w:w="108" w:type="dxa"/>
          </w:tblCellMar>
        </w:tblPrEx>
        <w:trPr>
          <w:gridAfter w:val="1"/>
          <w:wAfter w:w="546" w:type="dxa"/>
          <w:trHeight w:val="285" w:hRule="atLeast"/>
        </w:trPr>
        <w:tc>
          <w:tcPr>
            <w:tcW w:w="104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3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4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546" w:type="dxa"/>
          <w:trHeight w:val="300" w:hRule="atLeast"/>
        </w:trPr>
        <w:tc>
          <w:tcPr>
            <w:tcW w:w="1042"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36"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2139"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936"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4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546" w:type="dxa"/>
          <w:trHeight w:val="345" w:hRule="atLeast"/>
        </w:trPr>
        <w:tc>
          <w:tcPr>
            <w:tcW w:w="3417" w:type="dxa"/>
            <w:gridSpan w:val="7"/>
            <w:tcBorders>
              <w:top w:val="single" w:color="auto" w:sz="8" w:space="0"/>
              <w:left w:val="single" w:color="auto" w:sz="8" w:space="0"/>
              <w:bottom w:val="single" w:color="auto" w:sz="4" w:space="0"/>
              <w:right w:val="nil"/>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6"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gridSpan w:val="3"/>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146" w:type="dxa"/>
            <w:gridSpan w:val="2"/>
            <w:vMerge w:val="restart"/>
            <w:tcBorders>
              <w:top w:val="single" w:color="auto" w:sz="8" w:space="0"/>
              <w:left w:val="single" w:color="auto" w:sz="4" w:space="0"/>
              <w:bottom w:val="single" w:color="000000" w:sz="4" w:space="0"/>
              <w:right w:val="single" w:color="auto" w:sz="8"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546" w:type="dxa"/>
          <w:trHeight w:val="345" w:hRule="atLeast"/>
        </w:trPr>
        <w:tc>
          <w:tcPr>
            <w:tcW w:w="1264" w:type="dxa"/>
            <w:gridSpan w:val="5"/>
            <w:vMerge w:val="restart"/>
            <w:tcBorders>
              <w:top w:val="single" w:color="auto" w:sz="4" w:space="0"/>
              <w:left w:val="single" w:color="auto" w:sz="8" w:space="0"/>
              <w:bottom w:val="single" w:color="000000" w:sz="4" w:space="0"/>
              <w:right w:val="nil"/>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53"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93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146"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46" w:type="dxa"/>
          <w:trHeight w:val="345" w:hRule="atLeast"/>
        </w:trPr>
        <w:tc>
          <w:tcPr>
            <w:tcW w:w="1264" w:type="dxa"/>
            <w:gridSpan w:val="5"/>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eastAsia="宋体" w:cs="宋体"/>
                <w:kern w:val="0"/>
                <w:sz w:val="24"/>
                <w:szCs w:val="24"/>
              </w:rPr>
            </w:pPr>
          </w:p>
        </w:tc>
        <w:tc>
          <w:tcPr>
            <w:tcW w:w="215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93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146"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546" w:type="dxa"/>
          <w:trHeight w:val="345" w:hRule="atLeast"/>
        </w:trPr>
        <w:tc>
          <w:tcPr>
            <w:tcW w:w="3417" w:type="dxa"/>
            <w:gridSpan w:val="7"/>
            <w:tcBorders>
              <w:top w:val="single" w:color="auto" w:sz="4" w:space="0"/>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9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146"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
          <w:wAfter w:w="546" w:type="dxa"/>
          <w:trHeight w:val="345" w:hRule="atLeast"/>
        </w:trPr>
        <w:tc>
          <w:tcPr>
            <w:tcW w:w="3417" w:type="dxa"/>
            <w:gridSpan w:val="7"/>
            <w:tcBorders>
              <w:top w:val="nil"/>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合计</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394.55</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343.05</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51.50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0.00</w:t>
            </w:r>
          </w:p>
        </w:tc>
        <w:tc>
          <w:tcPr>
            <w:tcW w:w="3146"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0.00</w:t>
            </w:r>
          </w:p>
        </w:tc>
      </w:tr>
      <w:tr>
        <w:tblPrEx>
          <w:tblCellMar>
            <w:top w:w="0" w:type="dxa"/>
            <w:left w:w="108" w:type="dxa"/>
            <w:bottom w:w="0" w:type="dxa"/>
            <w:right w:w="108" w:type="dxa"/>
          </w:tblCellMar>
        </w:tblPrEx>
        <w:trPr>
          <w:gridAfter w:val="1"/>
          <w:wAfter w:w="546" w:type="dxa"/>
          <w:trHeight w:val="345" w:hRule="atLeast"/>
        </w:trPr>
        <w:tc>
          <w:tcPr>
            <w:tcW w:w="1264" w:type="dxa"/>
            <w:gridSpan w:val="5"/>
            <w:tcBorders>
              <w:top w:val="single" w:color="auto" w:sz="4" w:space="0"/>
              <w:left w:val="single" w:color="auto" w:sz="8" w:space="0"/>
              <w:bottom w:val="single" w:color="auto" w:sz="4"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2013199</w:t>
            </w:r>
          </w:p>
        </w:tc>
        <w:tc>
          <w:tcPr>
            <w:tcW w:w="2153"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其他党委办公厅（室）及相关机构事务支出</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pPr>
            <w:r>
              <w:rPr>
                <w:rFonts w:hint="eastAsia"/>
              </w:rPr>
              <w:t>20.00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3146" w:type="dxa"/>
            <w:gridSpan w:val="2"/>
            <w:tcBorders>
              <w:top w:val="nil"/>
              <w:left w:val="nil"/>
              <w:bottom w:val="single" w:color="auto" w:sz="4" w:space="0"/>
              <w:right w:val="single" w:color="auto" w:sz="8" w:space="0"/>
            </w:tcBorders>
            <w:shd w:val="clear" w:color="auto" w:fill="auto"/>
            <w:noWrap/>
            <w:vAlign w:val="center"/>
          </w:tcPr>
          <w:p>
            <w:pPr>
              <w:jc w:val="cente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gridAfter w:val="1"/>
          <w:wAfter w:w="546" w:type="dxa"/>
          <w:trHeight w:val="345" w:hRule="atLeast"/>
        </w:trPr>
        <w:tc>
          <w:tcPr>
            <w:tcW w:w="1264" w:type="dxa"/>
            <w:gridSpan w:val="5"/>
            <w:tcBorders>
              <w:top w:val="single" w:color="auto" w:sz="4" w:space="0"/>
              <w:left w:val="single" w:color="auto" w:sz="8" w:space="0"/>
              <w:bottom w:val="single" w:color="auto" w:sz="4"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w:t>
            </w:r>
          </w:p>
        </w:tc>
        <w:tc>
          <w:tcPr>
            <w:tcW w:w="2153"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公共安全支出</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中宋" w:eastAsia="仿宋_GB2312" w:cs="宋体"/>
                <w:kern w:val="0"/>
                <w:sz w:val="24"/>
                <w:szCs w:val="24"/>
              </w:rPr>
            </w:pPr>
            <w:r>
              <w:rPr>
                <w:rFonts w:hint="eastAsia" w:ascii="仿宋_GB2312" w:hAnsi="华文中宋" w:eastAsia="仿宋_GB2312" w:cs="宋体"/>
                <w:kern w:val="0"/>
                <w:sz w:val="24"/>
                <w:szCs w:val="24"/>
              </w:rPr>
              <w:t>324.80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293.30</w:t>
            </w: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pPr>
            <w:r>
              <w:rPr>
                <w:rFonts w:hint="eastAsia"/>
              </w:rPr>
              <w:t>31.50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3146" w:type="dxa"/>
            <w:gridSpan w:val="2"/>
            <w:tcBorders>
              <w:top w:val="nil"/>
              <w:left w:val="nil"/>
              <w:bottom w:val="single" w:color="auto" w:sz="4" w:space="0"/>
              <w:right w:val="single" w:color="auto" w:sz="8"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gridAfter w:val="1"/>
          <w:wAfter w:w="546" w:type="dxa"/>
          <w:trHeight w:val="345" w:hRule="atLeast"/>
        </w:trPr>
        <w:tc>
          <w:tcPr>
            <w:tcW w:w="1264" w:type="dxa"/>
            <w:gridSpan w:val="5"/>
            <w:tcBorders>
              <w:top w:val="single" w:color="auto" w:sz="4" w:space="0"/>
              <w:left w:val="single" w:color="auto" w:sz="8" w:space="0"/>
              <w:bottom w:val="single" w:color="auto" w:sz="4"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20402</w:t>
            </w:r>
          </w:p>
        </w:tc>
        <w:tc>
          <w:tcPr>
            <w:tcW w:w="2153"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公安</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中宋" w:eastAsia="仿宋_GB2312" w:cs="宋体"/>
                <w:kern w:val="0"/>
                <w:sz w:val="24"/>
                <w:szCs w:val="24"/>
              </w:rPr>
            </w:pPr>
            <w:r>
              <w:rPr>
                <w:rFonts w:hint="eastAsia" w:ascii="仿宋_GB2312" w:hAnsi="华文中宋" w:eastAsia="仿宋_GB2312" w:cs="宋体"/>
                <w:kern w:val="0"/>
                <w:sz w:val="24"/>
                <w:szCs w:val="24"/>
              </w:rPr>
              <w:t>298.80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293.30</w:t>
            </w: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pPr>
            <w:r>
              <w:rPr>
                <w:rFonts w:hint="eastAsia"/>
              </w:rPr>
              <w:t>5.50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3146" w:type="dxa"/>
            <w:gridSpan w:val="2"/>
            <w:tcBorders>
              <w:top w:val="nil"/>
              <w:left w:val="nil"/>
              <w:bottom w:val="single" w:color="auto" w:sz="4" w:space="0"/>
              <w:right w:val="single" w:color="auto" w:sz="8"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gridAfter w:val="1"/>
          <w:wAfter w:w="546" w:type="dxa"/>
          <w:trHeight w:val="345" w:hRule="atLeast"/>
        </w:trPr>
        <w:tc>
          <w:tcPr>
            <w:tcW w:w="1264" w:type="dxa"/>
            <w:gridSpan w:val="5"/>
            <w:tcBorders>
              <w:top w:val="single" w:color="auto" w:sz="4" w:space="0"/>
              <w:left w:val="single" w:color="auto" w:sz="8" w:space="0"/>
              <w:bottom w:val="single" w:color="auto" w:sz="4"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2040201</w:t>
            </w:r>
          </w:p>
        </w:tc>
        <w:tc>
          <w:tcPr>
            <w:tcW w:w="2153"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行政运行</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华文中宋" w:eastAsia="仿宋_GB2312" w:cs="宋体"/>
                <w:kern w:val="0"/>
                <w:sz w:val="24"/>
                <w:szCs w:val="24"/>
              </w:rPr>
            </w:pPr>
            <w:r>
              <w:rPr>
                <w:rFonts w:hint="eastAsia" w:ascii="仿宋_GB2312" w:hAnsi="华文中宋" w:eastAsia="仿宋_GB2312" w:cs="宋体"/>
                <w:kern w:val="0"/>
                <w:sz w:val="24"/>
                <w:szCs w:val="24"/>
              </w:rPr>
              <w:t>293.30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293.30</w:t>
            </w: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pPr>
            <w:r>
              <w:rPr>
                <w:rFonts w:hint="eastAsia"/>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3146" w:type="dxa"/>
            <w:gridSpan w:val="2"/>
            <w:tcBorders>
              <w:top w:val="nil"/>
              <w:left w:val="nil"/>
              <w:bottom w:val="single" w:color="auto" w:sz="4" w:space="0"/>
              <w:right w:val="single" w:color="auto" w:sz="8" w:space="0"/>
            </w:tcBorders>
            <w:shd w:val="clear" w:color="auto" w:fill="auto"/>
            <w:noWrap/>
            <w:vAlign w:val="center"/>
          </w:tcPr>
          <w:p>
            <w:pPr>
              <w:jc w:val="cente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gridAfter w:val="1"/>
          <w:wAfter w:w="546" w:type="dxa"/>
          <w:trHeight w:val="345" w:hRule="atLeast"/>
        </w:trPr>
        <w:tc>
          <w:tcPr>
            <w:tcW w:w="1264" w:type="dxa"/>
            <w:gridSpan w:val="5"/>
            <w:tcBorders>
              <w:top w:val="single" w:color="auto" w:sz="4" w:space="0"/>
              <w:left w:val="single" w:color="auto" w:sz="8" w:space="0"/>
              <w:bottom w:val="single" w:color="auto" w:sz="4"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2040210</w:t>
            </w:r>
          </w:p>
        </w:tc>
        <w:tc>
          <w:tcPr>
            <w:tcW w:w="2153"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防范和处理邪教犯罪</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pPr>
            <w:r>
              <w:rPr>
                <w:rFonts w:hint="eastAsia"/>
              </w:rPr>
              <w:t>5.50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3146" w:type="dxa"/>
            <w:gridSpan w:val="2"/>
            <w:tcBorders>
              <w:top w:val="nil"/>
              <w:left w:val="nil"/>
              <w:bottom w:val="single" w:color="auto" w:sz="4" w:space="0"/>
              <w:right w:val="single" w:color="auto" w:sz="8" w:space="0"/>
            </w:tcBorders>
            <w:shd w:val="clear" w:color="auto" w:fill="auto"/>
            <w:noWrap/>
            <w:vAlign w:val="center"/>
          </w:tcPr>
          <w:p>
            <w:pPr>
              <w:jc w:val="cente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gridAfter w:val="1"/>
          <w:wAfter w:w="546" w:type="dxa"/>
          <w:trHeight w:val="345" w:hRule="atLeast"/>
        </w:trPr>
        <w:tc>
          <w:tcPr>
            <w:tcW w:w="1264" w:type="dxa"/>
            <w:gridSpan w:val="5"/>
            <w:tcBorders>
              <w:top w:val="single" w:color="auto" w:sz="4" w:space="0"/>
              <w:left w:val="single" w:color="auto" w:sz="8" w:space="0"/>
              <w:bottom w:val="single" w:color="auto" w:sz="4"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2049901</w:t>
            </w:r>
          </w:p>
        </w:tc>
        <w:tc>
          <w:tcPr>
            <w:tcW w:w="2153"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其他公共安全支出</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26.00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pPr>
            <w:r>
              <w:rPr>
                <w:rFonts w:hint="eastAsia"/>
              </w:rPr>
              <w:t>26.00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3146" w:type="dxa"/>
            <w:gridSpan w:val="2"/>
            <w:tcBorders>
              <w:top w:val="nil"/>
              <w:left w:val="nil"/>
              <w:bottom w:val="single" w:color="auto" w:sz="4" w:space="0"/>
              <w:right w:val="single" w:color="auto" w:sz="8" w:space="0"/>
            </w:tcBorders>
            <w:shd w:val="clear" w:color="auto" w:fill="auto"/>
            <w:noWrap/>
            <w:vAlign w:val="center"/>
          </w:tcPr>
          <w:p>
            <w:pPr>
              <w:jc w:val="cente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gridAfter w:val="1"/>
          <w:wAfter w:w="546" w:type="dxa"/>
          <w:trHeight w:val="345" w:hRule="atLeast"/>
        </w:trPr>
        <w:tc>
          <w:tcPr>
            <w:tcW w:w="1264" w:type="dxa"/>
            <w:gridSpan w:val="5"/>
            <w:tcBorders>
              <w:top w:val="single" w:color="auto" w:sz="4" w:space="0"/>
              <w:left w:val="single" w:color="auto" w:sz="8" w:space="0"/>
              <w:bottom w:val="single" w:color="auto" w:sz="4"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2080501</w:t>
            </w:r>
          </w:p>
        </w:tc>
        <w:tc>
          <w:tcPr>
            <w:tcW w:w="2153"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归口管理的行政单位离退休</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44.19</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44.19</w:t>
            </w: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pPr>
            <w:r>
              <w:rPr>
                <w:rFonts w:hint="eastAsia"/>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cs="宋体"/>
                <w:kern w:val="0"/>
                <w:sz w:val="24"/>
                <w:szCs w:val="24"/>
              </w:rPr>
              <w:t>0.00</w:t>
            </w:r>
          </w:p>
        </w:tc>
        <w:tc>
          <w:tcPr>
            <w:tcW w:w="3146" w:type="dxa"/>
            <w:gridSpan w:val="2"/>
            <w:tcBorders>
              <w:top w:val="nil"/>
              <w:left w:val="nil"/>
              <w:bottom w:val="single" w:color="auto" w:sz="4" w:space="0"/>
              <w:right w:val="single" w:color="auto" w:sz="8" w:space="0"/>
            </w:tcBorders>
            <w:shd w:val="clear" w:color="auto" w:fill="auto"/>
            <w:noWrap/>
            <w:vAlign w:val="center"/>
          </w:tcPr>
          <w:p>
            <w:pPr>
              <w:jc w:val="cente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gridAfter w:val="1"/>
          <w:wAfter w:w="546" w:type="dxa"/>
          <w:trHeight w:val="345" w:hRule="atLeast"/>
        </w:trPr>
        <w:tc>
          <w:tcPr>
            <w:tcW w:w="1264" w:type="dxa"/>
            <w:gridSpan w:val="5"/>
            <w:tcBorders>
              <w:top w:val="single" w:color="auto" w:sz="4" w:space="0"/>
              <w:left w:val="single" w:color="auto" w:sz="8" w:space="0"/>
              <w:bottom w:val="single" w:color="auto" w:sz="8" w:space="0"/>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2100501</w:t>
            </w:r>
          </w:p>
        </w:tc>
        <w:tc>
          <w:tcPr>
            <w:tcW w:w="2153" w:type="dxa"/>
            <w:gridSpan w:val="2"/>
            <w:tcBorders>
              <w:top w:val="nil"/>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行政单位医疗</w:t>
            </w:r>
          </w:p>
        </w:tc>
        <w:tc>
          <w:tcPr>
            <w:tcW w:w="936" w:type="dxa"/>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5.55　</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5.55</w:t>
            </w:r>
          </w:p>
        </w:tc>
        <w:tc>
          <w:tcPr>
            <w:tcW w:w="1679" w:type="dxa"/>
            <w:gridSpan w:val="3"/>
            <w:tcBorders>
              <w:top w:val="nil"/>
              <w:left w:val="nil"/>
              <w:bottom w:val="single" w:color="auto" w:sz="8" w:space="0"/>
              <w:right w:val="single" w:color="auto" w:sz="4" w:space="0"/>
            </w:tcBorders>
            <w:shd w:val="clear" w:color="auto" w:fill="auto"/>
            <w:noWrap/>
          </w:tcPr>
          <w:p>
            <w:pPr>
              <w:jc w:val="center"/>
            </w:pPr>
            <w:r>
              <w:rPr>
                <w:rFonts w:hint="eastAsia"/>
              </w:rPr>
              <w:t>0.00</w:t>
            </w:r>
          </w:p>
        </w:tc>
        <w:tc>
          <w:tcPr>
            <w:tcW w:w="1679" w:type="dxa"/>
            <w:gridSpan w:val="2"/>
            <w:tcBorders>
              <w:top w:val="nil"/>
              <w:left w:val="nil"/>
              <w:bottom w:val="single" w:color="auto" w:sz="8" w:space="0"/>
              <w:right w:val="single" w:color="auto" w:sz="4" w:space="0"/>
            </w:tcBorders>
            <w:shd w:val="clear" w:color="auto" w:fill="auto"/>
            <w:noWrap/>
          </w:tcPr>
          <w:p>
            <w:pPr>
              <w:jc w:val="center"/>
            </w:pPr>
            <w:r>
              <w:rPr>
                <w:rFonts w:hint="eastAsia"/>
              </w:rPr>
              <w:t>0.00</w:t>
            </w:r>
          </w:p>
        </w:tc>
        <w:tc>
          <w:tcPr>
            <w:tcW w:w="1679" w:type="dxa"/>
            <w:gridSpan w:val="2"/>
            <w:tcBorders>
              <w:top w:val="nil"/>
              <w:left w:val="nil"/>
              <w:bottom w:val="single" w:color="auto" w:sz="8" w:space="0"/>
              <w:right w:val="single" w:color="auto" w:sz="4" w:space="0"/>
            </w:tcBorders>
            <w:shd w:val="clear" w:color="auto" w:fill="auto"/>
            <w:noWrap/>
          </w:tcPr>
          <w:p>
            <w:pPr>
              <w:jc w:val="center"/>
            </w:pPr>
            <w:r>
              <w:rPr>
                <w:rFonts w:hint="eastAsia"/>
              </w:rPr>
              <w:t>0.00</w:t>
            </w:r>
          </w:p>
        </w:tc>
        <w:tc>
          <w:tcPr>
            <w:tcW w:w="3146" w:type="dxa"/>
            <w:gridSpan w:val="2"/>
            <w:tcBorders>
              <w:top w:val="nil"/>
              <w:left w:val="nil"/>
              <w:bottom w:val="single" w:color="auto" w:sz="8" w:space="0"/>
              <w:right w:val="single" w:color="auto" w:sz="8" w:space="0"/>
            </w:tcBorders>
            <w:shd w:val="clear" w:color="auto" w:fill="auto"/>
            <w:noWrap/>
          </w:tcPr>
          <w:p>
            <w:pPr>
              <w:jc w:val="center"/>
            </w:pPr>
            <w:r>
              <w:rPr>
                <w:rFonts w:hint="eastAsia"/>
              </w:rPr>
              <w:t>0.00</w:t>
            </w:r>
          </w:p>
        </w:tc>
      </w:tr>
      <w:tr>
        <w:tblPrEx>
          <w:tblCellMar>
            <w:top w:w="0" w:type="dxa"/>
            <w:left w:w="108" w:type="dxa"/>
            <w:bottom w:w="0" w:type="dxa"/>
            <w:right w:w="108" w:type="dxa"/>
          </w:tblCellMar>
        </w:tblPrEx>
        <w:trPr>
          <w:gridAfter w:val="1"/>
          <w:wAfter w:w="546" w:type="dxa"/>
          <w:trHeight w:val="630" w:hRule="atLeast"/>
        </w:trPr>
        <w:tc>
          <w:tcPr>
            <w:tcW w:w="14215" w:type="dxa"/>
            <w:gridSpan w:val="1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rPr>
          <w:rStyle w:val="7"/>
          <w:spacing w:val="-10"/>
          <w:position w:val="-4"/>
          <w:lang w:val="zh-CN"/>
        </w:rPr>
      </w:pPr>
    </w:p>
    <w:tbl>
      <w:tblPr>
        <w:tblStyle w:val="5"/>
        <w:tblW w:w="14773" w:type="dxa"/>
        <w:tblInd w:w="93" w:type="dxa"/>
        <w:tblLayout w:type="autofit"/>
        <w:tblCellMar>
          <w:top w:w="0" w:type="dxa"/>
          <w:left w:w="108" w:type="dxa"/>
          <w:bottom w:w="0" w:type="dxa"/>
          <w:right w:w="108" w:type="dxa"/>
        </w:tblCellMar>
      </w:tblPr>
      <w:tblGrid>
        <w:gridCol w:w="3559"/>
        <w:gridCol w:w="436"/>
        <w:gridCol w:w="965"/>
        <w:gridCol w:w="638"/>
        <w:gridCol w:w="236"/>
        <w:gridCol w:w="2261"/>
        <w:gridCol w:w="567"/>
        <w:gridCol w:w="1119"/>
        <w:gridCol w:w="638"/>
        <w:gridCol w:w="766"/>
        <w:gridCol w:w="1431"/>
        <w:gridCol w:w="2157"/>
      </w:tblGrid>
      <w:tr>
        <w:tblPrEx>
          <w:tblCellMar>
            <w:top w:w="0" w:type="dxa"/>
            <w:left w:w="108" w:type="dxa"/>
            <w:bottom w:w="0" w:type="dxa"/>
            <w:right w:w="108" w:type="dxa"/>
          </w:tblCellMar>
        </w:tblPrEx>
        <w:trPr>
          <w:trHeight w:val="360" w:hRule="atLeast"/>
        </w:trPr>
        <w:tc>
          <w:tcPr>
            <w:tcW w:w="14773" w:type="dxa"/>
            <w:gridSpan w:val="12"/>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496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4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6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5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4960"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部门：大埔县委政法委</w:t>
            </w:r>
          </w:p>
        </w:tc>
        <w:tc>
          <w:tcPr>
            <w:tcW w:w="6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4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6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5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00" w:hRule="atLeast"/>
        </w:trPr>
        <w:tc>
          <w:tcPr>
            <w:tcW w:w="4960"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813" w:type="dxa"/>
            <w:gridSpan w:val="9"/>
            <w:tcBorders>
              <w:top w:val="single" w:color="auto" w:sz="8" w:space="0"/>
              <w:left w:val="nil"/>
              <w:bottom w:val="single" w:color="auto" w:sz="4" w:space="0"/>
              <w:right w:val="single" w:color="000000"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9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3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252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2157"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3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2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3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157" w:type="dxa"/>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2"/>
              </w:rPr>
            </w:pPr>
            <w:r>
              <w:rPr>
                <w:rFonts w:hint="eastAsia" w:ascii="宋体" w:hAnsi="宋体" w:eastAsia="宋体" w:cs="宋体"/>
                <w:b/>
                <w:kern w:val="0"/>
                <w:sz w:val="22"/>
              </w:rPr>
              <w:t>382.01　</w:t>
            </w:r>
          </w:p>
        </w:tc>
        <w:tc>
          <w:tcPr>
            <w:tcW w:w="3135"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20.00</w:t>
            </w:r>
          </w:p>
        </w:tc>
        <w:tc>
          <w:tcPr>
            <w:tcW w:w="1431" w:type="dxa"/>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20.00　</w:t>
            </w:r>
          </w:p>
        </w:tc>
        <w:tc>
          <w:tcPr>
            <w:tcW w:w="2157"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2"/>
              </w:rPr>
            </w:pPr>
            <w:r>
              <w:rPr>
                <w:rFonts w:hint="eastAsia" w:ascii="宋体" w:hAnsi="宋体" w:eastAsia="宋体" w:cs="宋体"/>
                <w:b/>
                <w:kern w:val="0"/>
                <w:sz w:val="22"/>
              </w:rPr>
              <w:t>　</w:t>
            </w:r>
          </w:p>
        </w:tc>
        <w:tc>
          <w:tcPr>
            <w:tcW w:w="3135"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31" w:type="dxa"/>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57"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2"/>
              </w:rPr>
            </w:pPr>
            <w:r>
              <w:rPr>
                <w:rFonts w:hint="eastAsia" w:ascii="宋体" w:hAnsi="宋体" w:eastAsia="宋体" w:cs="宋体"/>
                <w:b/>
                <w:kern w:val="0"/>
                <w:sz w:val="22"/>
              </w:rPr>
              <w:t>　</w:t>
            </w:r>
          </w:p>
        </w:tc>
        <w:tc>
          <w:tcPr>
            <w:tcW w:w="3135"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31" w:type="dxa"/>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57"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2"/>
              </w:rPr>
            </w:pPr>
            <w:r>
              <w:rPr>
                <w:rFonts w:hint="eastAsia" w:ascii="宋体" w:hAnsi="宋体" w:eastAsia="宋体" w:cs="宋体"/>
                <w:b/>
                <w:kern w:val="0"/>
                <w:sz w:val="22"/>
              </w:rPr>
              <w:t>　</w:t>
            </w:r>
          </w:p>
        </w:tc>
        <w:tc>
          <w:tcPr>
            <w:tcW w:w="3135"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312.26</w:t>
            </w:r>
          </w:p>
        </w:tc>
        <w:tc>
          <w:tcPr>
            <w:tcW w:w="1431" w:type="dxa"/>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312.26　</w:t>
            </w:r>
          </w:p>
        </w:tc>
        <w:tc>
          <w:tcPr>
            <w:tcW w:w="2157"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2"/>
              </w:rPr>
            </w:pPr>
            <w:r>
              <w:rPr>
                <w:rFonts w:hint="eastAsia" w:ascii="宋体" w:hAnsi="宋体" w:eastAsia="宋体" w:cs="宋体"/>
                <w:b/>
                <w:kern w:val="0"/>
                <w:sz w:val="22"/>
              </w:rPr>
              <w:t>　</w:t>
            </w:r>
          </w:p>
        </w:tc>
        <w:tc>
          <w:tcPr>
            <w:tcW w:w="3135"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五、社会保障和就业支出</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44.19</w:t>
            </w:r>
          </w:p>
        </w:tc>
        <w:tc>
          <w:tcPr>
            <w:tcW w:w="1431" w:type="dxa"/>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44.19</w:t>
            </w:r>
          </w:p>
        </w:tc>
        <w:tc>
          <w:tcPr>
            <w:tcW w:w="2157"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2"/>
              </w:rPr>
            </w:pPr>
            <w:r>
              <w:rPr>
                <w:rFonts w:hint="eastAsia" w:ascii="宋体" w:hAnsi="宋体" w:eastAsia="宋体" w:cs="宋体"/>
                <w:b/>
                <w:kern w:val="0"/>
                <w:sz w:val="22"/>
              </w:rPr>
              <w:t>　</w:t>
            </w:r>
          </w:p>
        </w:tc>
        <w:tc>
          <w:tcPr>
            <w:tcW w:w="3135"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六、医疗卫生与计划生育支出</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5.55</w:t>
            </w:r>
          </w:p>
        </w:tc>
        <w:tc>
          <w:tcPr>
            <w:tcW w:w="1431" w:type="dxa"/>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5.55</w:t>
            </w:r>
          </w:p>
        </w:tc>
        <w:tc>
          <w:tcPr>
            <w:tcW w:w="2157"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2"/>
              </w:rPr>
            </w:pPr>
            <w:r>
              <w:rPr>
                <w:rFonts w:hint="eastAsia" w:ascii="宋体" w:hAnsi="宋体" w:eastAsia="宋体" w:cs="宋体"/>
                <w:b/>
                <w:kern w:val="0"/>
                <w:sz w:val="22"/>
              </w:rPr>
              <w:t>　</w:t>
            </w:r>
          </w:p>
        </w:tc>
        <w:tc>
          <w:tcPr>
            <w:tcW w:w="31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31" w:type="dxa"/>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57"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9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kern w:val="0"/>
                <w:sz w:val="22"/>
              </w:rPr>
            </w:pPr>
            <w:r>
              <w:rPr>
                <w:rFonts w:hint="eastAsia" w:ascii="宋体" w:hAnsi="宋体" w:eastAsia="宋体" w:cs="宋体"/>
                <w:b/>
                <w:kern w:val="0"/>
                <w:sz w:val="22"/>
              </w:rPr>
              <w:t>　</w:t>
            </w:r>
          </w:p>
        </w:tc>
        <w:tc>
          <w:tcPr>
            <w:tcW w:w="3135" w:type="dxa"/>
            <w:gridSpan w:val="3"/>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3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57"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2"/>
              </w:rPr>
            </w:pPr>
            <w:r>
              <w:rPr>
                <w:rFonts w:hint="eastAsia" w:ascii="宋体" w:hAnsi="宋体" w:eastAsia="宋体" w:cs="宋体"/>
                <w:b/>
                <w:kern w:val="0"/>
                <w:sz w:val="22"/>
              </w:rPr>
              <w:t>382.01　</w:t>
            </w:r>
          </w:p>
        </w:tc>
        <w:tc>
          <w:tcPr>
            <w:tcW w:w="3135" w:type="dxa"/>
            <w:gridSpan w:val="3"/>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b/>
                <w:kern w:val="0"/>
                <w:sz w:val="22"/>
              </w:rPr>
            </w:pPr>
            <w:r>
              <w:rPr>
                <w:rFonts w:hint="eastAsia" w:ascii="宋体" w:hAnsi="宋体" w:eastAsia="宋体" w:cs="宋体"/>
                <w:b/>
                <w:kern w:val="0"/>
                <w:sz w:val="22"/>
              </w:rPr>
              <w:t>　382.01</w:t>
            </w:r>
          </w:p>
        </w:tc>
        <w:tc>
          <w:tcPr>
            <w:tcW w:w="143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kern w:val="0"/>
                <w:sz w:val="22"/>
              </w:rPr>
            </w:pPr>
            <w:r>
              <w:rPr>
                <w:rFonts w:hint="eastAsia" w:ascii="宋体" w:hAnsi="宋体" w:eastAsia="宋体" w:cs="宋体"/>
                <w:b/>
                <w:kern w:val="0"/>
                <w:sz w:val="22"/>
              </w:rPr>
              <w:t>382.01　</w:t>
            </w:r>
          </w:p>
        </w:tc>
        <w:tc>
          <w:tcPr>
            <w:tcW w:w="2157"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2"/>
              </w:rPr>
            </w:pPr>
            <w:r>
              <w:rPr>
                <w:rFonts w:hint="eastAsia" w:ascii="宋体" w:hAnsi="宋体" w:eastAsia="宋体" w:cs="宋体"/>
                <w:b/>
                <w:kern w:val="0"/>
                <w:sz w:val="22"/>
              </w:rPr>
              <w:t>　</w:t>
            </w:r>
          </w:p>
        </w:tc>
        <w:tc>
          <w:tcPr>
            <w:tcW w:w="3135" w:type="dxa"/>
            <w:gridSpan w:val="3"/>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年末结转和结余</w:t>
            </w:r>
          </w:p>
        </w:tc>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3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57"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2"/>
              </w:rPr>
            </w:pPr>
            <w:r>
              <w:rPr>
                <w:rFonts w:hint="eastAsia" w:ascii="宋体" w:hAnsi="宋体" w:eastAsia="宋体" w:cs="宋体"/>
                <w:b/>
                <w:kern w:val="0"/>
                <w:sz w:val="22"/>
              </w:rPr>
              <w:t>　</w:t>
            </w:r>
          </w:p>
        </w:tc>
        <w:tc>
          <w:tcPr>
            <w:tcW w:w="3135" w:type="dxa"/>
            <w:gridSpan w:val="3"/>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2523" w:type="dxa"/>
            <w:gridSpan w:val="3"/>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3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57"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nil"/>
              <w:left w:val="single" w:color="auto" w:sz="8" w:space="0"/>
              <w:bottom w:val="nil"/>
              <w:right w:val="nil"/>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965"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b/>
                <w:kern w:val="0"/>
                <w:sz w:val="22"/>
              </w:rPr>
            </w:pPr>
            <w:r>
              <w:rPr>
                <w:rFonts w:hint="eastAsia" w:ascii="宋体" w:hAnsi="宋体" w:eastAsia="宋体" w:cs="宋体"/>
                <w:b/>
                <w:kern w:val="0"/>
                <w:sz w:val="22"/>
              </w:rPr>
              <w:t>　</w:t>
            </w:r>
          </w:p>
        </w:tc>
        <w:tc>
          <w:tcPr>
            <w:tcW w:w="3135" w:type="dxa"/>
            <w:gridSpan w:val="3"/>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2523"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3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57" w:type="dxa"/>
            <w:tcBorders>
              <w:top w:val="nil"/>
              <w:left w:val="nil"/>
              <w:bottom w:val="nil"/>
              <w:right w:val="single" w:color="auto" w:sz="8"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single" w:color="auto" w:sz="4" w:space="0"/>
              <w:left w:val="single" w:color="auto" w:sz="8" w:space="0"/>
              <w:bottom w:val="nil"/>
              <w:right w:val="nil"/>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965" w:type="dxa"/>
            <w:tcBorders>
              <w:top w:val="single" w:color="auto" w:sz="4" w:space="0"/>
              <w:left w:val="nil"/>
              <w:bottom w:val="nil"/>
              <w:right w:val="single" w:color="auto" w:sz="4" w:space="0"/>
            </w:tcBorders>
            <w:shd w:val="clear" w:color="auto" w:fill="auto"/>
            <w:noWrap/>
            <w:vAlign w:val="center"/>
          </w:tcPr>
          <w:p>
            <w:pPr>
              <w:widowControl/>
              <w:jc w:val="right"/>
              <w:rPr>
                <w:rFonts w:ascii="宋体" w:hAnsi="宋体" w:eastAsia="宋体" w:cs="宋体"/>
                <w:b/>
                <w:kern w:val="0"/>
                <w:sz w:val="22"/>
              </w:rPr>
            </w:pPr>
            <w:r>
              <w:rPr>
                <w:rFonts w:hint="eastAsia" w:ascii="宋体" w:hAnsi="宋体" w:eastAsia="宋体" w:cs="宋体"/>
                <w:b/>
                <w:kern w:val="0"/>
                <w:sz w:val="22"/>
              </w:rPr>
              <w:t>　</w:t>
            </w:r>
          </w:p>
        </w:tc>
        <w:tc>
          <w:tcPr>
            <w:tcW w:w="3135" w:type="dxa"/>
            <w:gridSpan w:val="3"/>
            <w:tcBorders>
              <w:top w:val="single" w:color="auto" w:sz="4" w:space="0"/>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2523" w:type="dxa"/>
            <w:gridSpan w:val="3"/>
            <w:tcBorders>
              <w:top w:val="single" w:color="auto" w:sz="4" w:space="0"/>
              <w:left w:val="nil"/>
              <w:bottom w:val="nil"/>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3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57" w:type="dxa"/>
            <w:tcBorders>
              <w:top w:val="single" w:color="auto" w:sz="4" w:space="0"/>
              <w:left w:val="nil"/>
              <w:bottom w:val="nil"/>
              <w:right w:val="single" w:color="auto" w:sz="8"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3559" w:type="dxa"/>
            <w:tcBorders>
              <w:top w:val="single" w:color="auto" w:sz="4" w:space="0"/>
              <w:left w:val="single" w:color="auto" w:sz="8" w:space="0"/>
              <w:bottom w:val="single" w:color="auto" w:sz="8" w:space="0"/>
              <w:right w:val="nil"/>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43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965" w:type="dxa"/>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b/>
                <w:kern w:val="0"/>
                <w:sz w:val="22"/>
              </w:rPr>
            </w:pPr>
            <w:r>
              <w:rPr>
                <w:rFonts w:hint="eastAsia" w:ascii="宋体" w:hAnsi="宋体" w:eastAsia="宋体" w:cs="宋体"/>
                <w:b/>
                <w:kern w:val="0"/>
                <w:sz w:val="22"/>
              </w:rPr>
              <w:t>382.01　</w:t>
            </w:r>
          </w:p>
        </w:tc>
        <w:tc>
          <w:tcPr>
            <w:tcW w:w="3135" w:type="dxa"/>
            <w:gridSpan w:val="3"/>
            <w:tcBorders>
              <w:top w:val="single" w:color="auto" w:sz="4" w:space="0"/>
              <w:left w:val="nil"/>
              <w:bottom w:val="single" w:color="auto" w:sz="8" w:space="0"/>
              <w:right w:val="nil"/>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2523" w:type="dxa"/>
            <w:gridSpan w:val="3"/>
            <w:tcBorders>
              <w:top w:val="single" w:color="auto" w:sz="4" w:space="0"/>
              <w:left w:val="nil"/>
              <w:bottom w:val="nil"/>
              <w:right w:val="nil"/>
            </w:tcBorders>
            <w:shd w:val="clear" w:color="000000" w:fill="FFFFFF"/>
            <w:noWrap/>
            <w:vAlign w:val="center"/>
          </w:tcPr>
          <w:p>
            <w:pPr>
              <w:widowControl/>
              <w:jc w:val="center"/>
              <w:rPr>
                <w:rFonts w:ascii="宋体" w:hAnsi="宋体" w:eastAsia="宋体" w:cs="宋体"/>
                <w:b/>
                <w:kern w:val="0"/>
                <w:sz w:val="22"/>
              </w:rPr>
            </w:pPr>
            <w:r>
              <w:rPr>
                <w:rFonts w:hint="eastAsia" w:ascii="宋体" w:hAnsi="宋体" w:eastAsia="宋体" w:cs="宋体"/>
                <w:b/>
                <w:kern w:val="0"/>
                <w:sz w:val="22"/>
              </w:rPr>
              <w:t>　382.01</w:t>
            </w:r>
          </w:p>
        </w:tc>
        <w:tc>
          <w:tcPr>
            <w:tcW w:w="1431" w:type="dxa"/>
            <w:tcBorders>
              <w:top w:val="nil"/>
              <w:left w:val="single" w:color="auto" w:sz="4" w:space="0"/>
              <w:bottom w:val="single" w:color="auto" w:sz="8" w:space="0"/>
              <w:right w:val="single" w:color="auto" w:sz="4" w:space="0"/>
            </w:tcBorders>
            <w:shd w:val="clear" w:color="000000" w:fill="FFFFFF"/>
            <w:noWrap/>
            <w:vAlign w:val="center"/>
          </w:tcPr>
          <w:p>
            <w:pPr>
              <w:widowControl/>
              <w:jc w:val="center"/>
              <w:rPr>
                <w:rFonts w:ascii="宋体" w:hAnsi="宋体" w:eastAsia="宋体" w:cs="宋体"/>
                <w:b/>
                <w:kern w:val="0"/>
                <w:sz w:val="22"/>
              </w:rPr>
            </w:pPr>
            <w:r>
              <w:rPr>
                <w:rFonts w:hint="eastAsia" w:ascii="宋体" w:hAnsi="宋体" w:eastAsia="宋体" w:cs="宋体"/>
                <w:b/>
                <w:kern w:val="0"/>
                <w:sz w:val="22"/>
              </w:rPr>
              <w:t>382.01　</w:t>
            </w:r>
          </w:p>
        </w:tc>
        <w:tc>
          <w:tcPr>
            <w:tcW w:w="2157" w:type="dxa"/>
            <w:tcBorders>
              <w:top w:val="single" w:color="auto" w:sz="4" w:space="0"/>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4773" w:type="dxa"/>
            <w:gridSpan w:val="12"/>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注：本表反映部门本年度一般公共预算财政拨款和政府性基金预算财政拨款的总收支和年末结转结余情况。</w:t>
            </w:r>
          </w:p>
        </w:tc>
      </w:tr>
    </w:tbl>
    <w:p>
      <w:pPr>
        <w:rPr>
          <w:rStyle w:val="7"/>
          <w:spacing w:val="-10"/>
          <w:position w:val="-4"/>
        </w:rPr>
      </w:pPr>
    </w:p>
    <w:tbl>
      <w:tblPr>
        <w:tblStyle w:val="5"/>
        <w:tblW w:w="14120" w:type="dxa"/>
        <w:tblInd w:w="93" w:type="dxa"/>
        <w:tblLayout w:type="autofit"/>
        <w:tblCellMar>
          <w:top w:w="0" w:type="dxa"/>
          <w:left w:w="108" w:type="dxa"/>
          <w:bottom w:w="0" w:type="dxa"/>
          <w:right w:w="108" w:type="dxa"/>
        </w:tblCellMar>
      </w:tblPr>
      <w:tblGrid>
        <w:gridCol w:w="560"/>
        <w:gridCol w:w="560"/>
        <w:gridCol w:w="3148"/>
        <w:gridCol w:w="3402"/>
        <w:gridCol w:w="3402"/>
        <w:gridCol w:w="3048"/>
      </w:tblGrid>
      <w:tr>
        <w:tblPrEx>
          <w:tblCellMar>
            <w:top w:w="0" w:type="dxa"/>
            <w:left w:w="108" w:type="dxa"/>
            <w:bottom w:w="0" w:type="dxa"/>
            <w:right w:w="108" w:type="dxa"/>
          </w:tblCellMar>
        </w:tblPrEx>
        <w:trPr>
          <w:trHeight w:val="600" w:hRule="atLeast"/>
        </w:trPr>
        <w:tc>
          <w:tcPr>
            <w:tcW w:w="14120" w:type="dxa"/>
            <w:gridSpan w:val="6"/>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bookmarkStart w:id="0" w:name="RANGE!A1:F16"/>
            <w:r>
              <w:rPr>
                <w:rFonts w:hint="eastAsia" w:ascii="华文中宋" w:hAnsi="华文中宋" w:eastAsia="华文中宋" w:cs="宋体"/>
                <w:kern w:val="0"/>
                <w:sz w:val="32"/>
                <w:szCs w:val="32"/>
              </w:rPr>
              <w:t>一般公共预算财政拨款支出决算表</w:t>
            </w:r>
            <w:bookmarkEnd w:id="0"/>
          </w:p>
        </w:tc>
      </w:tr>
      <w:tr>
        <w:tblPrEx>
          <w:tblCellMar>
            <w:top w:w="0" w:type="dxa"/>
            <w:left w:w="108" w:type="dxa"/>
            <w:bottom w:w="0" w:type="dxa"/>
            <w:right w:w="108" w:type="dxa"/>
          </w:tblCellMar>
        </w:tblPrEx>
        <w:trPr>
          <w:trHeight w:val="222" w:hRule="atLeast"/>
        </w:trPr>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148"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402"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402"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04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tc>
      </w:tr>
      <w:tr>
        <w:tblPrEx>
          <w:tblCellMar>
            <w:top w:w="0" w:type="dxa"/>
            <w:left w:w="108" w:type="dxa"/>
            <w:bottom w:w="0" w:type="dxa"/>
            <w:right w:w="108" w:type="dxa"/>
          </w:tblCellMar>
        </w:tblPrEx>
        <w:trPr>
          <w:trHeight w:val="300" w:hRule="atLeast"/>
        </w:trPr>
        <w:tc>
          <w:tcPr>
            <w:tcW w:w="112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3148"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402"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402"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04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5" w:hRule="atLeast"/>
        </w:trPr>
        <w:tc>
          <w:tcPr>
            <w:tcW w:w="4268"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3402"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340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048"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345" w:hRule="atLeast"/>
        </w:trPr>
        <w:tc>
          <w:tcPr>
            <w:tcW w:w="112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1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340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34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048"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1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40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34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048"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1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40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34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048"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4268"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048"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345" w:hRule="atLeast"/>
        </w:trPr>
        <w:tc>
          <w:tcPr>
            <w:tcW w:w="4268"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合计</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382.01</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330.51</w:t>
            </w:r>
          </w:p>
        </w:tc>
        <w:tc>
          <w:tcPr>
            <w:tcW w:w="3048"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51.50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2013199</w:t>
            </w:r>
          </w:p>
        </w:tc>
        <w:tc>
          <w:tcPr>
            <w:tcW w:w="3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其他党委办公厅（室）及相关机构事务支出</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3048"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w:t>
            </w:r>
          </w:p>
        </w:tc>
        <w:tc>
          <w:tcPr>
            <w:tcW w:w="3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公共安全支出</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312.26</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280.76</w:t>
            </w:r>
          </w:p>
        </w:tc>
        <w:tc>
          <w:tcPr>
            <w:tcW w:w="3048"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31.50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20402</w:t>
            </w:r>
          </w:p>
        </w:tc>
        <w:tc>
          <w:tcPr>
            <w:tcW w:w="3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公安</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286.26</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280.76</w:t>
            </w:r>
          </w:p>
        </w:tc>
        <w:tc>
          <w:tcPr>
            <w:tcW w:w="3048"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2040201</w:t>
            </w:r>
          </w:p>
        </w:tc>
        <w:tc>
          <w:tcPr>
            <w:tcW w:w="3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行政运行</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280.76</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280.76</w:t>
            </w:r>
          </w:p>
        </w:tc>
        <w:tc>
          <w:tcPr>
            <w:tcW w:w="3048"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2040210</w:t>
            </w:r>
          </w:p>
        </w:tc>
        <w:tc>
          <w:tcPr>
            <w:tcW w:w="31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防范和处理邪教犯罪</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5.50</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3048"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2049901</w:t>
            </w:r>
          </w:p>
        </w:tc>
        <w:tc>
          <w:tcPr>
            <w:tcW w:w="3148"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其他公共安全支出</w:t>
            </w:r>
          </w:p>
        </w:tc>
        <w:tc>
          <w:tcPr>
            <w:tcW w:w="3402"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26.00</w:t>
            </w:r>
          </w:p>
        </w:tc>
        <w:tc>
          <w:tcPr>
            <w:tcW w:w="3402"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c>
          <w:tcPr>
            <w:tcW w:w="304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26.00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2080501</w:t>
            </w:r>
          </w:p>
        </w:tc>
        <w:tc>
          <w:tcPr>
            <w:tcW w:w="3148"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归口管理的行政单位离退休</w:t>
            </w:r>
          </w:p>
        </w:tc>
        <w:tc>
          <w:tcPr>
            <w:tcW w:w="3402"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44.19</w:t>
            </w:r>
          </w:p>
        </w:tc>
        <w:tc>
          <w:tcPr>
            <w:tcW w:w="3402"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44.19</w:t>
            </w:r>
          </w:p>
        </w:tc>
        <w:tc>
          <w:tcPr>
            <w:tcW w:w="304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2100501</w:t>
            </w:r>
          </w:p>
        </w:tc>
        <w:tc>
          <w:tcPr>
            <w:tcW w:w="3148"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行政单位医疗</w:t>
            </w:r>
          </w:p>
        </w:tc>
        <w:tc>
          <w:tcPr>
            <w:tcW w:w="3402"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5.55</w:t>
            </w:r>
          </w:p>
        </w:tc>
        <w:tc>
          <w:tcPr>
            <w:tcW w:w="3402"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5.55</w:t>
            </w:r>
          </w:p>
        </w:tc>
        <w:tc>
          <w:tcPr>
            <w:tcW w:w="304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5.55</w:t>
            </w:r>
          </w:p>
        </w:tc>
      </w:tr>
      <w:tr>
        <w:tblPrEx>
          <w:tblCellMar>
            <w:top w:w="0" w:type="dxa"/>
            <w:left w:w="108" w:type="dxa"/>
            <w:bottom w:w="0" w:type="dxa"/>
            <w:right w:w="108" w:type="dxa"/>
          </w:tblCellMar>
        </w:tblPrEx>
        <w:trPr>
          <w:trHeight w:val="645" w:hRule="atLeast"/>
        </w:trPr>
        <w:tc>
          <w:tcPr>
            <w:tcW w:w="14120" w:type="dxa"/>
            <w:gridSpan w:val="6"/>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注：本表反映部门本年度一般公共预算财政拨款实际支出情况。</w:t>
            </w:r>
          </w:p>
        </w:tc>
      </w:tr>
    </w:tbl>
    <w:p>
      <w:pPr>
        <w:rPr>
          <w:rStyle w:val="7"/>
          <w:spacing w:val="-10"/>
          <w:position w:val="-4"/>
          <w:lang w:val="zh-CN"/>
        </w:rPr>
      </w:pPr>
    </w:p>
    <w:tbl>
      <w:tblPr>
        <w:tblStyle w:val="5"/>
        <w:tblW w:w="14120" w:type="dxa"/>
        <w:tblInd w:w="93" w:type="dxa"/>
        <w:tblLayout w:type="autofit"/>
        <w:tblCellMar>
          <w:top w:w="0" w:type="dxa"/>
          <w:left w:w="108" w:type="dxa"/>
          <w:bottom w:w="0" w:type="dxa"/>
          <w:right w:w="108" w:type="dxa"/>
        </w:tblCellMar>
      </w:tblPr>
      <w:tblGrid>
        <w:gridCol w:w="560"/>
        <w:gridCol w:w="560"/>
        <w:gridCol w:w="455"/>
        <w:gridCol w:w="141"/>
        <w:gridCol w:w="1843"/>
        <w:gridCol w:w="2268"/>
        <w:gridCol w:w="4373"/>
        <w:gridCol w:w="3920"/>
      </w:tblGrid>
      <w:tr>
        <w:tblPrEx>
          <w:tblCellMar>
            <w:top w:w="0" w:type="dxa"/>
            <w:left w:w="108" w:type="dxa"/>
            <w:bottom w:w="0" w:type="dxa"/>
            <w:right w:w="108" w:type="dxa"/>
          </w:tblCellMar>
        </w:tblPrEx>
        <w:trPr>
          <w:trHeight w:val="600" w:hRule="atLeast"/>
        </w:trPr>
        <w:tc>
          <w:tcPr>
            <w:tcW w:w="14120" w:type="dxa"/>
            <w:gridSpan w:val="8"/>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一般公共预算财政拨款基本支出决算表</w:t>
            </w:r>
          </w:p>
        </w:tc>
      </w:tr>
      <w:tr>
        <w:tblPrEx>
          <w:tblCellMar>
            <w:top w:w="0" w:type="dxa"/>
            <w:left w:w="108" w:type="dxa"/>
            <w:bottom w:w="0" w:type="dxa"/>
            <w:right w:w="108" w:type="dxa"/>
          </w:tblCellMar>
        </w:tblPrEx>
        <w:trPr>
          <w:trHeight w:val="222" w:hRule="atLeast"/>
        </w:trPr>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39" w:type="dxa"/>
            <w:gridSpan w:val="3"/>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268"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373"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p>
        </w:tc>
        <w:tc>
          <w:tcPr>
            <w:tcW w:w="392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tc>
      </w:tr>
      <w:tr>
        <w:tblPrEx>
          <w:tblCellMar>
            <w:top w:w="0" w:type="dxa"/>
            <w:left w:w="108" w:type="dxa"/>
            <w:bottom w:w="0" w:type="dxa"/>
            <w:right w:w="108" w:type="dxa"/>
          </w:tblCellMar>
        </w:tblPrEx>
        <w:trPr>
          <w:trHeight w:val="300" w:hRule="atLeast"/>
        </w:trPr>
        <w:tc>
          <w:tcPr>
            <w:tcW w:w="112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39" w:type="dxa"/>
            <w:gridSpan w:val="3"/>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268"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373"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2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60" w:hRule="atLeast"/>
        </w:trPr>
        <w:tc>
          <w:tcPr>
            <w:tcW w:w="3559" w:type="dxa"/>
            <w:gridSpan w:val="5"/>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2268"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437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人员经费</w:t>
            </w:r>
          </w:p>
        </w:tc>
        <w:tc>
          <w:tcPr>
            <w:tcW w:w="3920"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公用经费</w:t>
            </w:r>
          </w:p>
        </w:tc>
      </w:tr>
      <w:tr>
        <w:tblPrEx>
          <w:tblCellMar>
            <w:top w:w="0" w:type="dxa"/>
            <w:left w:w="108" w:type="dxa"/>
            <w:bottom w:w="0" w:type="dxa"/>
            <w:right w:w="108" w:type="dxa"/>
          </w:tblCellMar>
        </w:tblPrEx>
        <w:trPr>
          <w:trHeight w:val="360" w:hRule="atLeast"/>
        </w:trPr>
        <w:tc>
          <w:tcPr>
            <w:tcW w:w="1716" w:type="dxa"/>
            <w:gridSpan w:val="4"/>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经济分类科目编码</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268"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437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92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716" w:type="dxa"/>
            <w:gridSpan w:val="4"/>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68"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437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92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716" w:type="dxa"/>
            <w:gridSpan w:val="4"/>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68"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437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92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3559" w:type="dxa"/>
            <w:gridSpan w:val="5"/>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50" w:hRule="atLeast"/>
        </w:trPr>
        <w:tc>
          <w:tcPr>
            <w:tcW w:w="3559" w:type="dxa"/>
            <w:gridSpan w:val="5"/>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合计</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330.51</w:t>
            </w:r>
          </w:p>
        </w:tc>
        <w:tc>
          <w:tcPr>
            <w:tcW w:w="43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268.90</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61.61</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　301</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kern w:val="0"/>
                <w:szCs w:val="21"/>
              </w:rPr>
            </w:pPr>
            <w:r>
              <w:rPr>
                <w:rFonts w:hint="eastAsia" w:ascii="仿宋_GB2312" w:hAnsi="宋体" w:eastAsia="仿宋_GB2312" w:cs="宋体"/>
                <w:b/>
                <w:kern w:val="0"/>
                <w:szCs w:val="21"/>
              </w:rPr>
              <w:t>工资福利支出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216.35</w:t>
            </w:r>
          </w:p>
        </w:tc>
        <w:tc>
          <w:tcPr>
            <w:tcW w:w="43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216.35</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0.00</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30101</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基本工资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66.52</w:t>
            </w:r>
          </w:p>
        </w:tc>
        <w:tc>
          <w:tcPr>
            <w:tcW w:w="43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66.52</w:t>
            </w:r>
          </w:p>
        </w:tc>
        <w:tc>
          <w:tcPr>
            <w:tcW w:w="3920" w:type="dxa"/>
            <w:tcBorders>
              <w:top w:val="nil"/>
              <w:left w:val="nil"/>
              <w:bottom w:val="single" w:color="auto" w:sz="4" w:space="0"/>
              <w:right w:val="single" w:color="auto" w:sz="8" w:space="0"/>
            </w:tcBorders>
            <w:shd w:val="clear" w:color="auto" w:fill="auto"/>
          </w:tcPr>
          <w:p>
            <w:pPr>
              <w:jc w:val="cente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30102</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津贴补贴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118.46</w:t>
            </w:r>
          </w:p>
        </w:tc>
        <w:tc>
          <w:tcPr>
            <w:tcW w:w="43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118.46</w:t>
            </w:r>
          </w:p>
        </w:tc>
        <w:tc>
          <w:tcPr>
            <w:tcW w:w="3920" w:type="dxa"/>
            <w:tcBorders>
              <w:top w:val="nil"/>
              <w:left w:val="nil"/>
              <w:bottom w:val="single" w:color="auto" w:sz="4" w:space="0"/>
              <w:right w:val="single" w:color="auto" w:sz="8" w:space="0"/>
            </w:tcBorders>
            <w:shd w:val="clear" w:color="auto" w:fill="auto"/>
          </w:tcPr>
          <w:p>
            <w:pPr>
              <w:jc w:val="cente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30103</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奖金</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6.06</w:t>
            </w:r>
          </w:p>
        </w:tc>
        <w:tc>
          <w:tcPr>
            <w:tcW w:w="43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6.06</w:t>
            </w:r>
          </w:p>
        </w:tc>
        <w:tc>
          <w:tcPr>
            <w:tcW w:w="3920" w:type="dxa"/>
            <w:tcBorders>
              <w:top w:val="nil"/>
              <w:left w:val="nil"/>
              <w:bottom w:val="single" w:color="auto" w:sz="4" w:space="0"/>
              <w:right w:val="single" w:color="auto" w:sz="8" w:space="0"/>
            </w:tcBorders>
            <w:shd w:val="clear" w:color="auto" w:fill="auto"/>
          </w:tcPr>
          <w:p>
            <w:pPr>
              <w:jc w:val="cente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30108</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机关事业单位基本养老保险缴费</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1.91</w:t>
            </w:r>
          </w:p>
        </w:tc>
        <w:tc>
          <w:tcPr>
            <w:tcW w:w="43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1.91</w:t>
            </w:r>
          </w:p>
        </w:tc>
        <w:tc>
          <w:tcPr>
            <w:tcW w:w="3920" w:type="dxa"/>
            <w:tcBorders>
              <w:top w:val="nil"/>
              <w:left w:val="nil"/>
              <w:bottom w:val="single" w:color="auto" w:sz="4" w:space="0"/>
              <w:right w:val="single" w:color="auto" w:sz="8" w:space="0"/>
            </w:tcBorders>
            <w:shd w:val="clear" w:color="auto" w:fill="auto"/>
            <w:vAlign w:val="center"/>
          </w:tcPr>
          <w:p>
            <w:pPr>
              <w:jc w:val="cente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30199</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其他工资福利支出</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23.40</w:t>
            </w:r>
          </w:p>
        </w:tc>
        <w:tc>
          <w:tcPr>
            <w:tcW w:w="43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23.40</w:t>
            </w:r>
          </w:p>
        </w:tc>
        <w:tc>
          <w:tcPr>
            <w:tcW w:w="3920" w:type="dxa"/>
            <w:tcBorders>
              <w:top w:val="nil"/>
              <w:left w:val="nil"/>
              <w:bottom w:val="single" w:color="auto" w:sz="4" w:space="0"/>
              <w:right w:val="single" w:color="auto" w:sz="8" w:space="0"/>
            </w:tcBorders>
            <w:shd w:val="clear" w:color="auto" w:fill="auto"/>
          </w:tcPr>
          <w:p>
            <w:pPr>
              <w:jc w:val="cente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302</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kern w:val="0"/>
                <w:szCs w:val="21"/>
              </w:rPr>
            </w:pPr>
            <w:r>
              <w:rPr>
                <w:rFonts w:hint="eastAsia" w:ascii="仿宋_GB2312" w:hAnsi="宋体" w:eastAsia="仿宋_GB2312" w:cs="宋体"/>
                <w:b/>
                <w:kern w:val="0"/>
                <w:szCs w:val="21"/>
              </w:rPr>
              <w:t xml:space="preserve">商品和服务支出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61.61</w:t>
            </w:r>
          </w:p>
        </w:tc>
        <w:tc>
          <w:tcPr>
            <w:tcW w:w="43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0.00</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61.61</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30201</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办公费</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9.41</w:t>
            </w:r>
          </w:p>
        </w:tc>
        <w:tc>
          <w:tcPr>
            <w:tcW w:w="43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9.41</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30202</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印刷费</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0.45</w:t>
            </w:r>
          </w:p>
        </w:tc>
        <w:tc>
          <w:tcPr>
            <w:tcW w:w="43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0.45</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30204</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手续费　</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0.09</w:t>
            </w:r>
          </w:p>
        </w:tc>
        <w:tc>
          <w:tcPr>
            <w:tcW w:w="43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0.09</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30205</w:t>
            </w:r>
          </w:p>
        </w:tc>
        <w:tc>
          <w:tcPr>
            <w:tcW w:w="1984"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水费　</w:t>
            </w:r>
          </w:p>
        </w:tc>
        <w:tc>
          <w:tcPr>
            <w:tcW w:w="226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0.10</w:t>
            </w:r>
          </w:p>
        </w:tc>
        <w:tc>
          <w:tcPr>
            <w:tcW w:w="4373"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0.10</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30206</w:t>
            </w:r>
          </w:p>
        </w:tc>
        <w:tc>
          <w:tcPr>
            <w:tcW w:w="1984"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电费</w:t>
            </w:r>
          </w:p>
        </w:tc>
        <w:tc>
          <w:tcPr>
            <w:tcW w:w="226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4373"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2.00</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30207</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邮电费</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6.50</w:t>
            </w:r>
          </w:p>
        </w:tc>
        <w:tc>
          <w:tcPr>
            <w:tcW w:w="43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6.50</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30211</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差旅费</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5.50</w:t>
            </w:r>
          </w:p>
        </w:tc>
        <w:tc>
          <w:tcPr>
            <w:tcW w:w="43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5.50</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30216</w:t>
            </w:r>
          </w:p>
        </w:tc>
        <w:tc>
          <w:tcPr>
            <w:tcW w:w="1984" w:type="dxa"/>
            <w:gridSpan w:val="2"/>
            <w:tcBorders>
              <w:top w:val="single" w:color="auto" w:sz="4" w:space="0"/>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培训费</w:t>
            </w:r>
          </w:p>
        </w:tc>
        <w:tc>
          <w:tcPr>
            <w:tcW w:w="2268"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0.45</w:t>
            </w:r>
          </w:p>
        </w:tc>
        <w:tc>
          <w:tcPr>
            <w:tcW w:w="4373"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0.45</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30227</w:t>
            </w:r>
          </w:p>
        </w:tc>
        <w:tc>
          <w:tcPr>
            <w:tcW w:w="1984" w:type="dxa"/>
            <w:gridSpan w:val="2"/>
            <w:tcBorders>
              <w:top w:val="single" w:color="auto" w:sz="4" w:space="0"/>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委托业务费</w:t>
            </w:r>
          </w:p>
        </w:tc>
        <w:tc>
          <w:tcPr>
            <w:tcW w:w="2268"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7.35</w:t>
            </w:r>
          </w:p>
        </w:tc>
        <w:tc>
          <w:tcPr>
            <w:tcW w:w="4373"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7.35</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30228</w:t>
            </w:r>
          </w:p>
        </w:tc>
        <w:tc>
          <w:tcPr>
            <w:tcW w:w="1984" w:type="dxa"/>
            <w:gridSpan w:val="2"/>
            <w:tcBorders>
              <w:top w:val="single" w:color="auto" w:sz="4" w:space="0"/>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工会经费</w:t>
            </w:r>
          </w:p>
        </w:tc>
        <w:tc>
          <w:tcPr>
            <w:tcW w:w="2268"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5.80</w:t>
            </w:r>
          </w:p>
        </w:tc>
        <w:tc>
          <w:tcPr>
            <w:tcW w:w="4373"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5.80</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30231</w:t>
            </w:r>
          </w:p>
        </w:tc>
        <w:tc>
          <w:tcPr>
            <w:tcW w:w="1984"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公务用车运行维护费</w:t>
            </w:r>
          </w:p>
        </w:tc>
        <w:tc>
          <w:tcPr>
            <w:tcW w:w="226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3.80</w:t>
            </w:r>
          </w:p>
        </w:tc>
        <w:tc>
          <w:tcPr>
            <w:tcW w:w="4373"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3.80</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30299</w:t>
            </w:r>
          </w:p>
        </w:tc>
        <w:tc>
          <w:tcPr>
            <w:tcW w:w="1984"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其他商品和服务支出</w:t>
            </w:r>
          </w:p>
        </w:tc>
        <w:tc>
          <w:tcPr>
            <w:tcW w:w="226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20.17</w:t>
            </w:r>
          </w:p>
        </w:tc>
        <w:tc>
          <w:tcPr>
            <w:tcW w:w="4373"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0.00</w:t>
            </w:r>
          </w:p>
        </w:tc>
        <w:tc>
          <w:tcPr>
            <w:tcW w:w="39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20.17</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303</w:t>
            </w:r>
          </w:p>
        </w:tc>
        <w:tc>
          <w:tcPr>
            <w:tcW w:w="1984"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b/>
                <w:kern w:val="0"/>
                <w:sz w:val="18"/>
                <w:szCs w:val="18"/>
              </w:rPr>
            </w:pPr>
            <w:r>
              <w:rPr>
                <w:rFonts w:hint="eastAsia" w:ascii="仿宋_GB2312" w:hAnsi="宋体" w:eastAsia="仿宋_GB2312" w:cs="宋体"/>
                <w:b/>
                <w:kern w:val="0"/>
                <w:sz w:val="18"/>
                <w:szCs w:val="18"/>
              </w:rPr>
              <w:t>对个人和家庭的补助</w:t>
            </w:r>
          </w:p>
        </w:tc>
        <w:tc>
          <w:tcPr>
            <w:tcW w:w="226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52.55</w:t>
            </w:r>
          </w:p>
        </w:tc>
        <w:tc>
          <w:tcPr>
            <w:tcW w:w="4373"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52.55</w:t>
            </w:r>
          </w:p>
        </w:tc>
        <w:tc>
          <w:tcPr>
            <w:tcW w:w="3920" w:type="dxa"/>
            <w:tcBorders>
              <w:top w:val="nil"/>
              <w:left w:val="nil"/>
              <w:bottom w:val="single" w:color="auto" w:sz="8" w:space="0"/>
              <w:right w:val="single" w:color="auto" w:sz="8" w:space="0"/>
            </w:tcBorders>
            <w:shd w:val="clear" w:color="auto" w:fill="auto"/>
            <w:vAlign w:val="center"/>
          </w:tcPr>
          <w:p>
            <w:pPr>
              <w:jc w:val="center"/>
              <w:rPr>
                <w:b/>
              </w:rPr>
            </w:pPr>
            <w:r>
              <w:rPr>
                <w:rFonts w:hint="eastAsia" w:ascii="仿宋_GB2312" w:hAnsi="宋体" w:eastAsia="仿宋_GB2312" w:cs="宋体"/>
                <w:b/>
                <w:kern w:val="0"/>
                <w:szCs w:val="21"/>
              </w:rPr>
              <w:t>0.00</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30301</w:t>
            </w:r>
          </w:p>
        </w:tc>
        <w:tc>
          <w:tcPr>
            <w:tcW w:w="1984"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离休费</w:t>
            </w:r>
          </w:p>
        </w:tc>
        <w:tc>
          <w:tcPr>
            <w:tcW w:w="226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19.21</w:t>
            </w:r>
          </w:p>
        </w:tc>
        <w:tc>
          <w:tcPr>
            <w:tcW w:w="4373"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19.21</w:t>
            </w:r>
          </w:p>
        </w:tc>
        <w:tc>
          <w:tcPr>
            <w:tcW w:w="3920" w:type="dxa"/>
            <w:tcBorders>
              <w:top w:val="nil"/>
              <w:left w:val="nil"/>
              <w:bottom w:val="single" w:color="auto" w:sz="8" w:space="0"/>
              <w:right w:val="single" w:color="auto" w:sz="8" w:space="0"/>
            </w:tcBorders>
            <w:shd w:val="clear" w:color="auto" w:fill="auto"/>
          </w:tcPr>
          <w:p>
            <w:pPr>
              <w:jc w:val="cente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30302</w:t>
            </w:r>
          </w:p>
        </w:tc>
        <w:tc>
          <w:tcPr>
            <w:tcW w:w="1984"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退休费</w:t>
            </w:r>
          </w:p>
        </w:tc>
        <w:tc>
          <w:tcPr>
            <w:tcW w:w="226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24.98</w:t>
            </w:r>
          </w:p>
        </w:tc>
        <w:tc>
          <w:tcPr>
            <w:tcW w:w="4373"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24.98</w:t>
            </w:r>
          </w:p>
        </w:tc>
        <w:tc>
          <w:tcPr>
            <w:tcW w:w="3920" w:type="dxa"/>
            <w:tcBorders>
              <w:top w:val="nil"/>
              <w:left w:val="nil"/>
              <w:bottom w:val="single" w:color="auto" w:sz="8" w:space="0"/>
              <w:right w:val="single" w:color="auto" w:sz="8" w:space="0"/>
            </w:tcBorders>
            <w:shd w:val="clear" w:color="auto" w:fill="auto"/>
          </w:tcPr>
          <w:p>
            <w:pPr>
              <w:jc w:val="cente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30307</w:t>
            </w:r>
          </w:p>
        </w:tc>
        <w:tc>
          <w:tcPr>
            <w:tcW w:w="1984"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医疗费</w:t>
            </w:r>
          </w:p>
        </w:tc>
        <w:tc>
          <w:tcPr>
            <w:tcW w:w="226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5.55</w:t>
            </w:r>
          </w:p>
        </w:tc>
        <w:tc>
          <w:tcPr>
            <w:tcW w:w="4373"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5.55</w:t>
            </w:r>
          </w:p>
        </w:tc>
        <w:tc>
          <w:tcPr>
            <w:tcW w:w="3920" w:type="dxa"/>
            <w:tcBorders>
              <w:top w:val="nil"/>
              <w:left w:val="nil"/>
              <w:bottom w:val="single" w:color="auto" w:sz="8" w:space="0"/>
              <w:right w:val="single" w:color="auto" w:sz="8" w:space="0"/>
            </w:tcBorders>
            <w:shd w:val="clear" w:color="auto" w:fill="auto"/>
          </w:tcPr>
          <w:p>
            <w:pPr>
              <w:jc w:val="cente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450" w:hRule="atLeast"/>
        </w:trPr>
        <w:tc>
          <w:tcPr>
            <w:tcW w:w="1575"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30313</w:t>
            </w:r>
          </w:p>
        </w:tc>
        <w:tc>
          <w:tcPr>
            <w:tcW w:w="1984"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购房补贴</w:t>
            </w:r>
          </w:p>
        </w:tc>
        <w:tc>
          <w:tcPr>
            <w:tcW w:w="226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2.80</w:t>
            </w:r>
          </w:p>
        </w:tc>
        <w:tc>
          <w:tcPr>
            <w:tcW w:w="4373"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2.80</w:t>
            </w:r>
          </w:p>
        </w:tc>
        <w:tc>
          <w:tcPr>
            <w:tcW w:w="3920" w:type="dxa"/>
            <w:tcBorders>
              <w:top w:val="nil"/>
              <w:left w:val="nil"/>
              <w:bottom w:val="single" w:color="auto" w:sz="8" w:space="0"/>
              <w:right w:val="single" w:color="auto" w:sz="8" w:space="0"/>
            </w:tcBorders>
            <w:shd w:val="clear" w:color="auto" w:fill="auto"/>
          </w:tcPr>
          <w:p>
            <w:pPr>
              <w:jc w:val="center"/>
            </w:pPr>
            <w:r>
              <w:rPr>
                <w:rFonts w:hint="eastAsia" w:ascii="仿宋_GB2312" w:hAnsi="宋体" w:eastAsia="仿宋_GB2312" w:cs="宋体"/>
                <w:kern w:val="0"/>
                <w:szCs w:val="21"/>
              </w:rPr>
              <w:t>0.00</w:t>
            </w:r>
          </w:p>
        </w:tc>
      </w:tr>
      <w:tr>
        <w:tblPrEx>
          <w:tblCellMar>
            <w:top w:w="0" w:type="dxa"/>
            <w:left w:w="108" w:type="dxa"/>
            <w:bottom w:w="0" w:type="dxa"/>
            <w:right w:w="108" w:type="dxa"/>
          </w:tblCellMar>
        </w:tblPrEx>
        <w:trPr>
          <w:trHeight w:val="645" w:hRule="atLeast"/>
        </w:trPr>
        <w:tc>
          <w:tcPr>
            <w:tcW w:w="14120" w:type="dxa"/>
            <w:gridSpan w:val="8"/>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注：本表反映部门本年度一般公共预算财政拨款基本支出明细情况。</w:t>
            </w:r>
          </w:p>
        </w:tc>
      </w:tr>
    </w:tbl>
    <w:p>
      <w:pPr>
        <w:rPr>
          <w:rStyle w:val="7"/>
          <w:spacing w:val="-10"/>
          <w:position w:val="-4"/>
        </w:rPr>
      </w:pPr>
    </w:p>
    <w:p>
      <w:pPr>
        <w:rPr>
          <w:rStyle w:val="7"/>
          <w:spacing w:val="-10"/>
          <w:position w:val="-4"/>
          <w:lang w:val="zh-CN"/>
        </w:rPr>
      </w:pPr>
    </w:p>
    <w:tbl>
      <w:tblPr>
        <w:tblStyle w:val="5"/>
        <w:tblW w:w="14640" w:type="dxa"/>
        <w:tblInd w:w="93" w:type="dxa"/>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600" w:hRule="atLeast"/>
        </w:trPr>
        <w:tc>
          <w:tcPr>
            <w:tcW w:w="14640" w:type="dxa"/>
            <w:gridSpan w:val="12"/>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bookmarkStart w:id="1" w:name="RANGE!A1:L9"/>
            <w:r>
              <w:rPr>
                <w:rFonts w:hint="eastAsia" w:ascii="华文中宋" w:hAnsi="华文中宋" w:eastAsia="华文中宋" w:cs="宋体"/>
                <w:kern w:val="0"/>
                <w:sz w:val="32"/>
                <w:szCs w:val="32"/>
              </w:rPr>
              <w:t>一般公共预算财政拨款“三公”经费支出决算表</w:t>
            </w:r>
            <w:bookmarkEnd w:id="1"/>
          </w:p>
        </w:tc>
      </w:tr>
      <w:tr>
        <w:tblPrEx>
          <w:tblCellMar>
            <w:top w:w="0" w:type="dxa"/>
            <w:left w:w="108" w:type="dxa"/>
            <w:bottom w:w="0" w:type="dxa"/>
            <w:right w:w="108" w:type="dxa"/>
          </w:tblCellMar>
        </w:tblPrEx>
        <w:trPr>
          <w:trHeight w:val="222" w:hRule="atLeast"/>
        </w:trPr>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trHeight w:val="300" w:hRule="atLeast"/>
        </w:trPr>
        <w:tc>
          <w:tcPr>
            <w:tcW w:w="122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59" w:hRule="atLeast"/>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2016年度预算数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2016年度决算数</w:t>
            </w:r>
          </w:p>
        </w:tc>
      </w:tr>
      <w:tr>
        <w:tblPrEx>
          <w:tblCellMar>
            <w:top w:w="0" w:type="dxa"/>
            <w:left w:w="108" w:type="dxa"/>
            <w:bottom w:w="0" w:type="dxa"/>
            <w:right w:w="108" w:type="dxa"/>
          </w:tblCellMar>
        </w:tblPrEx>
        <w:trPr>
          <w:trHeight w:val="600" w:hRule="atLeast"/>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公务接待费</w:t>
            </w:r>
          </w:p>
        </w:tc>
      </w:tr>
      <w:tr>
        <w:tblPrEx>
          <w:tblCellMar>
            <w:top w:w="0" w:type="dxa"/>
            <w:left w:w="108" w:type="dxa"/>
            <w:bottom w:w="0" w:type="dxa"/>
            <w:right w:w="108" w:type="dxa"/>
          </w:tblCellMar>
        </w:tblPrEx>
        <w:trPr>
          <w:trHeight w:val="600" w:hRule="atLeast"/>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559" w:hRule="atLeast"/>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r>
      <w:tr>
        <w:tblPrEx>
          <w:tblCellMar>
            <w:top w:w="0" w:type="dxa"/>
            <w:left w:w="108" w:type="dxa"/>
            <w:bottom w:w="0" w:type="dxa"/>
            <w:right w:w="108" w:type="dxa"/>
          </w:tblCellMar>
        </w:tblPrEx>
        <w:trPr>
          <w:trHeight w:val="855" w:hRule="atLeast"/>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220" w:type="dxa"/>
            <w:tcBorders>
              <w:top w:val="nil"/>
              <w:left w:val="nil"/>
              <w:bottom w:val="single" w:color="auto" w:sz="8"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900" w:hRule="atLeast"/>
        </w:trPr>
        <w:tc>
          <w:tcPr>
            <w:tcW w:w="14640" w:type="dxa"/>
            <w:gridSpan w:val="12"/>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注：2016年度预算数为“三公”经费年初预算数，决算数是包括当年一般公共预算财政拨款和以前年度结转资金安排的实际支出。</w:t>
            </w:r>
          </w:p>
        </w:tc>
      </w:tr>
    </w:tbl>
    <w:p>
      <w:pPr>
        <w:rPr>
          <w:rStyle w:val="7"/>
          <w:spacing w:val="-10"/>
          <w:position w:val="-4"/>
        </w:rPr>
      </w:pPr>
    </w:p>
    <w:p>
      <w:pPr>
        <w:rPr>
          <w:rStyle w:val="7"/>
          <w:spacing w:val="-10"/>
          <w:position w:val="-4"/>
          <w:lang w:val="zh-CN"/>
        </w:rPr>
      </w:pPr>
    </w:p>
    <w:p>
      <w:pPr>
        <w:rPr>
          <w:rStyle w:val="7"/>
          <w:spacing w:val="-10"/>
          <w:position w:val="-4"/>
          <w:lang w:val="zh-CN"/>
        </w:rPr>
      </w:pPr>
    </w:p>
    <w:p>
      <w:pPr>
        <w:rPr>
          <w:rStyle w:val="7"/>
          <w:spacing w:val="-10"/>
          <w:position w:val="-4"/>
          <w:lang w:val="zh-CN"/>
        </w:rPr>
      </w:pPr>
    </w:p>
    <w:tbl>
      <w:tblPr>
        <w:tblStyle w:val="5"/>
        <w:tblW w:w="14440" w:type="dxa"/>
        <w:tblInd w:w="93" w:type="dxa"/>
        <w:tblLayout w:type="autofit"/>
        <w:tblCellMar>
          <w:top w:w="0" w:type="dxa"/>
          <w:left w:w="108" w:type="dxa"/>
          <w:bottom w:w="0" w:type="dxa"/>
          <w:right w:w="108" w:type="dxa"/>
        </w:tblCellMar>
      </w:tblPr>
      <w:tblGrid>
        <w:gridCol w:w="560"/>
        <w:gridCol w:w="560"/>
        <w:gridCol w:w="1320"/>
        <w:gridCol w:w="2000"/>
        <w:gridCol w:w="2000"/>
        <w:gridCol w:w="2000"/>
        <w:gridCol w:w="2000"/>
        <w:gridCol w:w="2000"/>
        <w:gridCol w:w="2000"/>
      </w:tblGrid>
      <w:tr>
        <w:tblPrEx>
          <w:tblCellMar>
            <w:top w:w="0" w:type="dxa"/>
            <w:left w:w="108" w:type="dxa"/>
            <w:bottom w:w="0" w:type="dxa"/>
            <w:right w:w="108" w:type="dxa"/>
          </w:tblCellMar>
        </w:tblPrEx>
        <w:trPr>
          <w:trHeight w:val="600" w:hRule="atLeast"/>
        </w:trPr>
        <w:tc>
          <w:tcPr>
            <w:tcW w:w="1444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bookmarkStart w:id="2" w:name="RANGE!A1:I16"/>
            <w:r>
              <w:rPr>
                <w:rFonts w:hint="eastAsia" w:ascii="华文中宋" w:hAnsi="华文中宋" w:eastAsia="华文中宋" w:cs="宋体"/>
                <w:kern w:val="0"/>
                <w:sz w:val="32"/>
                <w:szCs w:val="32"/>
              </w:rPr>
              <w:t>政府性基金预算财政拨款收入支出决算表</w:t>
            </w:r>
            <w:bookmarkEnd w:id="2"/>
          </w:p>
        </w:tc>
      </w:tr>
      <w:tr>
        <w:tblPrEx>
          <w:tblCellMar>
            <w:top w:w="0" w:type="dxa"/>
            <w:left w:w="108" w:type="dxa"/>
            <w:bottom w:w="0" w:type="dxa"/>
            <w:right w:w="108" w:type="dxa"/>
          </w:tblCellMar>
        </w:tblPrEx>
        <w:trPr>
          <w:trHeight w:val="222" w:hRule="atLeast"/>
        </w:trPr>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2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tc>
      </w:tr>
      <w:tr>
        <w:tblPrEx>
          <w:tblCellMar>
            <w:top w:w="0" w:type="dxa"/>
            <w:left w:w="108" w:type="dxa"/>
            <w:bottom w:w="0" w:type="dxa"/>
            <w:right w:w="108" w:type="dxa"/>
          </w:tblCellMar>
        </w:tblPrEx>
        <w:trPr>
          <w:trHeight w:val="300" w:hRule="atLeast"/>
        </w:trPr>
        <w:tc>
          <w:tcPr>
            <w:tcW w:w="1120"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部门：政法</w:t>
            </w:r>
          </w:p>
        </w:tc>
        <w:tc>
          <w:tcPr>
            <w:tcW w:w="132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p>
        </w:tc>
        <w:tc>
          <w:tcPr>
            <w:tcW w:w="200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75" w:hRule="atLeast"/>
        </w:trPr>
        <w:tc>
          <w:tcPr>
            <w:tcW w:w="244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200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年初结转和结余</w:t>
            </w:r>
          </w:p>
        </w:tc>
        <w:tc>
          <w:tcPr>
            <w:tcW w:w="2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本年收入</w:t>
            </w:r>
          </w:p>
        </w:tc>
        <w:tc>
          <w:tcPr>
            <w:tcW w:w="6000" w:type="dxa"/>
            <w:gridSpan w:val="3"/>
            <w:tcBorders>
              <w:top w:val="single" w:color="auto" w:sz="8" w:space="0"/>
              <w:left w:val="nil"/>
              <w:bottom w:val="single" w:color="auto"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c>
          <w:tcPr>
            <w:tcW w:w="2000"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年末结转和结余</w:t>
            </w:r>
          </w:p>
        </w:tc>
      </w:tr>
      <w:tr>
        <w:tblPrEx>
          <w:tblCellMar>
            <w:top w:w="0" w:type="dxa"/>
            <w:left w:w="108" w:type="dxa"/>
            <w:bottom w:w="0" w:type="dxa"/>
            <w:right w:w="108" w:type="dxa"/>
          </w:tblCellMar>
        </w:tblPrEx>
        <w:trPr>
          <w:trHeight w:val="375" w:hRule="atLeast"/>
        </w:trPr>
        <w:tc>
          <w:tcPr>
            <w:tcW w:w="112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00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小计</w:t>
            </w:r>
          </w:p>
        </w:tc>
        <w:tc>
          <w:tcPr>
            <w:tcW w:w="2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200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200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5"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5"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5" w:hRule="atLeast"/>
        </w:trPr>
        <w:tc>
          <w:tcPr>
            <w:tcW w:w="2440"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00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375" w:hRule="atLeast"/>
        </w:trPr>
        <w:tc>
          <w:tcPr>
            <w:tcW w:w="2440" w:type="dxa"/>
            <w:gridSpan w:val="3"/>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nil"/>
            </w:tcBorders>
            <w:shd w:val="clear" w:color="auto" w:fill="auto"/>
          </w:tcPr>
          <w:p>
            <w:r>
              <w:rPr>
                <w:rFonts w:hint="eastAsia" w:ascii="宋体" w:hAnsi="宋体" w:eastAsia="宋体" w:cs="宋体"/>
                <w:kern w:val="0"/>
                <w:sz w:val="24"/>
                <w:szCs w:val="24"/>
              </w:rPr>
              <w:t>0.00</w:t>
            </w:r>
          </w:p>
        </w:tc>
        <w:tc>
          <w:tcPr>
            <w:tcW w:w="2000" w:type="dxa"/>
            <w:tcBorders>
              <w:top w:val="nil"/>
              <w:left w:val="single" w:color="auto" w:sz="4" w:space="0"/>
              <w:bottom w:val="single" w:color="auto" w:sz="4" w:space="0"/>
              <w:right w:val="single" w:color="auto" w:sz="8" w:space="0"/>
            </w:tcBorders>
            <w:shd w:val="clear" w:color="auto" w:fill="auto"/>
          </w:tcPr>
          <w:p>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nil"/>
            </w:tcBorders>
            <w:shd w:val="clear" w:color="auto" w:fill="auto"/>
          </w:tcPr>
          <w:p>
            <w:r>
              <w:rPr>
                <w:rFonts w:hint="eastAsia" w:ascii="宋体" w:hAnsi="宋体" w:eastAsia="宋体" w:cs="宋体"/>
                <w:kern w:val="0"/>
                <w:sz w:val="24"/>
                <w:szCs w:val="24"/>
              </w:rPr>
              <w:t>0.00</w:t>
            </w:r>
          </w:p>
        </w:tc>
        <w:tc>
          <w:tcPr>
            <w:tcW w:w="2000" w:type="dxa"/>
            <w:tcBorders>
              <w:top w:val="nil"/>
              <w:left w:val="single" w:color="auto" w:sz="4" w:space="0"/>
              <w:bottom w:val="single" w:color="auto" w:sz="4" w:space="0"/>
              <w:right w:val="single" w:color="auto" w:sz="8" w:space="0"/>
            </w:tcBorders>
            <w:shd w:val="clear" w:color="auto" w:fill="auto"/>
          </w:tcPr>
          <w:p>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nil"/>
            </w:tcBorders>
            <w:shd w:val="clear" w:color="auto" w:fill="auto"/>
          </w:tcPr>
          <w:p>
            <w:r>
              <w:rPr>
                <w:rFonts w:hint="eastAsia" w:ascii="宋体" w:hAnsi="宋体" w:eastAsia="宋体" w:cs="宋体"/>
                <w:kern w:val="0"/>
                <w:sz w:val="24"/>
                <w:szCs w:val="24"/>
              </w:rPr>
              <w:t>0.00</w:t>
            </w:r>
          </w:p>
        </w:tc>
        <w:tc>
          <w:tcPr>
            <w:tcW w:w="2000" w:type="dxa"/>
            <w:tcBorders>
              <w:top w:val="nil"/>
              <w:left w:val="single" w:color="auto" w:sz="4" w:space="0"/>
              <w:bottom w:val="single" w:color="auto" w:sz="4" w:space="0"/>
              <w:right w:val="single" w:color="auto" w:sz="8" w:space="0"/>
            </w:tcBorders>
            <w:shd w:val="clear" w:color="auto" w:fill="auto"/>
          </w:tcPr>
          <w:p>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nil"/>
            </w:tcBorders>
            <w:shd w:val="clear" w:color="auto" w:fill="auto"/>
          </w:tcPr>
          <w:p>
            <w:r>
              <w:rPr>
                <w:rFonts w:hint="eastAsia" w:ascii="宋体" w:hAnsi="宋体" w:eastAsia="宋体" w:cs="宋体"/>
                <w:kern w:val="0"/>
                <w:sz w:val="24"/>
                <w:szCs w:val="24"/>
              </w:rPr>
              <w:t>0.00</w:t>
            </w:r>
          </w:p>
        </w:tc>
        <w:tc>
          <w:tcPr>
            <w:tcW w:w="2000" w:type="dxa"/>
            <w:tcBorders>
              <w:top w:val="nil"/>
              <w:left w:val="single" w:color="auto" w:sz="4" w:space="0"/>
              <w:bottom w:val="single" w:color="auto" w:sz="4" w:space="0"/>
              <w:right w:val="single" w:color="auto" w:sz="8" w:space="0"/>
            </w:tcBorders>
            <w:shd w:val="clear" w:color="auto" w:fill="auto"/>
          </w:tcPr>
          <w:p>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nil"/>
            </w:tcBorders>
            <w:shd w:val="clear" w:color="auto" w:fill="auto"/>
          </w:tcPr>
          <w:p>
            <w:r>
              <w:rPr>
                <w:rFonts w:hint="eastAsia" w:ascii="宋体" w:hAnsi="宋体" w:eastAsia="宋体" w:cs="宋体"/>
                <w:kern w:val="0"/>
                <w:sz w:val="24"/>
                <w:szCs w:val="24"/>
              </w:rPr>
              <w:t>0.00</w:t>
            </w:r>
          </w:p>
        </w:tc>
        <w:tc>
          <w:tcPr>
            <w:tcW w:w="2000" w:type="dxa"/>
            <w:tcBorders>
              <w:top w:val="nil"/>
              <w:left w:val="single" w:color="auto" w:sz="4" w:space="0"/>
              <w:bottom w:val="single" w:color="auto" w:sz="4" w:space="0"/>
              <w:right w:val="single" w:color="auto" w:sz="8" w:space="0"/>
            </w:tcBorders>
            <w:shd w:val="clear" w:color="auto" w:fill="auto"/>
          </w:tcPr>
          <w:p>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4" w:space="0"/>
              <w:right w:val="nil"/>
            </w:tcBorders>
            <w:shd w:val="clear" w:color="auto" w:fill="auto"/>
          </w:tcPr>
          <w:p>
            <w:r>
              <w:rPr>
                <w:rFonts w:hint="eastAsia" w:ascii="宋体" w:hAnsi="宋体" w:eastAsia="宋体" w:cs="宋体"/>
                <w:kern w:val="0"/>
                <w:sz w:val="24"/>
                <w:szCs w:val="24"/>
              </w:rPr>
              <w:t>0.00</w:t>
            </w:r>
          </w:p>
        </w:tc>
        <w:tc>
          <w:tcPr>
            <w:tcW w:w="2000" w:type="dxa"/>
            <w:tcBorders>
              <w:top w:val="nil"/>
              <w:left w:val="single" w:color="auto" w:sz="4" w:space="0"/>
              <w:bottom w:val="single" w:color="auto" w:sz="4" w:space="0"/>
              <w:right w:val="single" w:color="auto" w:sz="8" w:space="0"/>
            </w:tcBorders>
            <w:shd w:val="clear" w:color="auto" w:fill="auto"/>
          </w:tcPr>
          <w:p>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8"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8"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8"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8" w:space="0"/>
              <w:right w:val="single" w:color="auto" w:sz="4" w:space="0"/>
            </w:tcBorders>
            <w:shd w:val="clear" w:color="auto" w:fill="auto"/>
          </w:tcPr>
          <w:p>
            <w:r>
              <w:rPr>
                <w:rFonts w:hint="eastAsia" w:ascii="宋体" w:hAnsi="宋体" w:eastAsia="宋体" w:cs="宋体"/>
                <w:kern w:val="0"/>
                <w:sz w:val="24"/>
                <w:szCs w:val="24"/>
              </w:rPr>
              <w:t>0.00</w:t>
            </w:r>
          </w:p>
        </w:tc>
        <w:tc>
          <w:tcPr>
            <w:tcW w:w="2000" w:type="dxa"/>
            <w:tcBorders>
              <w:top w:val="nil"/>
              <w:left w:val="nil"/>
              <w:bottom w:val="single" w:color="auto" w:sz="8" w:space="0"/>
              <w:right w:val="nil"/>
            </w:tcBorders>
            <w:shd w:val="clear" w:color="auto" w:fill="auto"/>
          </w:tcPr>
          <w:p>
            <w:r>
              <w:rPr>
                <w:rFonts w:hint="eastAsia" w:ascii="宋体" w:hAnsi="宋体" w:eastAsia="宋体" w:cs="宋体"/>
                <w:kern w:val="0"/>
                <w:sz w:val="24"/>
                <w:szCs w:val="24"/>
              </w:rPr>
              <w:t>0.00</w:t>
            </w:r>
          </w:p>
        </w:tc>
        <w:tc>
          <w:tcPr>
            <w:tcW w:w="2000" w:type="dxa"/>
            <w:tcBorders>
              <w:top w:val="nil"/>
              <w:left w:val="single" w:color="auto" w:sz="4" w:space="0"/>
              <w:bottom w:val="single" w:color="auto" w:sz="8" w:space="0"/>
              <w:right w:val="single" w:color="auto" w:sz="8" w:space="0"/>
            </w:tcBorders>
            <w:shd w:val="clear" w:color="auto" w:fill="auto"/>
          </w:tcPr>
          <w:p>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645" w:hRule="atLeast"/>
        </w:trPr>
        <w:tc>
          <w:tcPr>
            <w:tcW w:w="1444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注：本表反映部门本年度政府性基金预算财政拨款收入支出及结转和结余情况。</w:t>
            </w:r>
          </w:p>
        </w:tc>
      </w:tr>
    </w:tbl>
    <w:p>
      <w:pPr>
        <w:rPr>
          <w:rStyle w:val="7"/>
          <w:spacing w:val="-10"/>
          <w:position w:val="-4"/>
          <w:lang w:val="zh-CN"/>
        </w:rPr>
        <w:sectPr>
          <w:pgSz w:w="16838" w:h="11906" w:orient="landscape"/>
          <w:pgMar w:top="1800" w:right="1440" w:bottom="1800" w:left="1440" w:header="851" w:footer="992" w:gutter="0"/>
          <w:cols w:space="425" w:num="1"/>
          <w:docGrid w:type="lines" w:linePitch="312" w:charSpace="0"/>
        </w:sectPr>
      </w:pPr>
    </w:p>
    <w:p>
      <w:pPr>
        <w:pStyle w:val="12"/>
        <w:widowControl/>
        <w:spacing w:line="1267" w:lineRule="exact"/>
        <w:jc w:val="center"/>
        <w:rPr>
          <w:rStyle w:val="9"/>
          <w:lang w:val="zh-CN"/>
        </w:rPr>
      </w:pPr>
      <w:r>
        <w:rPr>
          <w:rStyle w:val="9"/>
          <w:rFonts w:hint="eastAsia"/>
          <w:lang w:val="zh-CN"/>
        </w:rPr>
        <w:t xml:space="preserve">第三部分 </w:t>
      </w:r>
      <w:r>
        <w:rPr>
          <w:rStyle w:val="8"/>
          <w:rFonts w:hint="eastAsia"/>
          <w:lang w:val="zh-CN"/>
        </w:rPr>
        <w:t>2016</w:t>
      </w:r>
      <w:r>
        <w:rPr>
          <w:rStyle w:val="9"/>
          <w:rFonts w:hint="eastAsia"/>
          <w:lang w:val="zh-CN"/>
        </w:rPr>
        <w:t>年大埔县委政法委部门决算情况说明</w:t>
      </w:r>
    </w:p>
    <w:p>
      <w:pPr>
        <w:pStyle w:val="12"/>
        <w:widowControl/>
        <w:spacing w:line="1267" w:lineRule="exact"/>
        <w:ind w:left="658"/>
        <w:rPr>
          <w:rStyle w:val="28"/>
          <w:lang w:val="zh-CN"/>
        </w:rPr>
      </w:pPr>
      <w:r>
        <w:rPr>
          <w:rStyle w:val="11"/>
          <w:rFonts w:hint="eastAsia"/>
          <w:lang w:val="zh-CN"/>
        </w:rPr>
        <w:t>一、</w:t>
      </w:r>
      <w:r>
        <w:rPr>
          <w:rStyle w:val="28"/>
          <w:rFonts w:hint="eastAsia"/>
          <w:lang w:val="zh-CN"/>
        </w:rPr>
        <w:t>收入总体情况</w:t>
      </w:r>
    </w:p>
    <w:p>
      <w:pPr>
        <w:pStyle w:val="22"/>
        <w:widowControl/>
        <w:spacing w:line="624" w:lineRule="exact"/>
        <w:ind w:firstLine="783" w:firstLineChars="244"/>
        <w:rPr>
          <w:rStyle w:val="20"/>
          <w:rFonts w:hint="eastAsia"/>
          <w:lang w:val="zh-CN"/>
        </w:rPr>
      </w:pPr>
      <w:r>
        <w:rPr>
          <w:rStyle w:val="20"/>
          <w:rFonts w:hint="eastAsia"/>
          <w:lang w:val="zh-CN"/>
        </w:rPr>
        <w:t>2016</w:t>
      </w:r>
      <w:r>
        <w:rPr>
          <w:rStyle w:val="7"/>
          <w:rFonts w:hint="eastAsia"/>
          <w:lang w:val="zh-CN"/>
        </w:rPr>
        <w:t>年部门决算总收入</w:t>
      </w:r>
      <w:r>
        <w:rPr>
          <w:rStyle w:val="20"/>
          <w:rFonts w:hint="eastAsia"/>
          <w:lang w:val="zh-CN"/>
        </w:rPr>
        <w:t>394.55</w:t>
      </w:r>
      <w:r>
        <w:rPr>
          <w:rStyle w:val="7"/>
          <w:rFonts w:hint="eastAsia"/>
          <w:lang w:val="zh-CN"/>
        </w:rPr>
        <w:t>万元，比</w:t>
      </w:r>
      <w:r>
        <w:rPr>
          <w:rStyle w:val="20"/>
          <w:rFonts w:hint="eastAsia"/>
          <w:lang w:val="zh-CN"/>
        </w:rPr>
        <w:t>2015</w:t>
      </w:r>
      <w:r>
        <w:rPr>
          <w:rStyle w:val="7"/>
          <w:rFonts w:hint="eastAsia"/>
          <w:lang w:val="zh-CN"/>
        </w:rPr>
        <w:t>年部门决算总收入增加</w:t>
      </w:r>
      <w:r>
        <w:rPr>
          <w:rStyle w:val="20"/>
          <w:rFonts w:hint="eastAsia"/>
          <w:lang w:val="zh-CN"/>
        </w:rPr>
        <w:t>36.06</w:t>
      </w:r>
      <w:r>
        <w:rPr>
          <w:rStyle w:val="14"/>
          <w:rFonts w:hint="eastAsia"/>
          <w:lang w:val="zh-CN"/>
        </w:rPr>
        <w:t>万元，</w:t>
      </w:r>
      <w:r>
        <w:rPr>
          <w:rStyle w:val="7"/>
          <w:rFonts w:hint="eastAsia"/>
          <w:lang w:val="zh-CN"/>
        </w:rPr>
        <w:t>增长</w:t>
      </w:r>
      <w:r>
        <w:rPr>
          <w:rStyle w:val="20"/>
          <w:rFonts w:hint="eastAsia"/>
          <w:lang w:val="zh-CN"/>
        </w:rPr>
        <w:t>10%</w:t>
      </w:r>
      <w:r>
        <w:rPr>
          <w:rStyle w:val="7"/>
          <w:rFonts w:hint="eastAsia"/>
          <w:spacing w:val="-30"/>
          <w:lang w:val="zh-CN"/>
        </w:rPr>
        <w:t>。；比</w:t>
      </w:r>
      <w:r>
        <w:rPr>
          <w:rStyle w:val="20"/>
          <w:rFonts w:hint="eastAsia"/>
          <w:lang w:val="zh-CN"/>
        </w:rPr>
        <w:t>2016</w:t>
      </w:r>
      <w:r>
        <w:rPr>
          <w:rStyle w:val="7"/>
          <w:rFonts w:hint="eastAsia"/>
          <w:lang w:val="zh-CN"/>
        </w:rPr>
        <w:t>年预算总收入增加</w:t>
      </w:r>
      <w:r>
        <w:rPr>
          <w:rStyle w:val="20"/>
          <w:rFonts w:hint="eastAsia"/>
          <w:lang w:val="zh-CN"/>
        </w:rPr>
        <w:t>159.75</w:t>
      </w:r>
      <w:r>
        <w:rPr>
          <w:rStyle w:val="7"/>
          <w:rFonts w:hint="eastAsia"/>
          <w:lang w:val="zh-CN"/>
        </w:rPr>
        <w:t>万元，增长</w:t>
      </w:r>
      <w:r>
        <w:rPr>
          <w:rStyle w:val="20"/>
          <w:rFonts w:hint="eastAsia"/>
          <w:lang w:val="zh-CN"/>
        </w:rPr>
        <w:t>68%.</w:t>
      </w:r>
      <w:r>
        <w:rPr>
          <w:rStyle w:val="7"/>
          <w:rFonts w:hint="eastAsia"/>
          <w:lang w:val="zh-CN"/>
        </w:rPr>
        <w:t>增加的主要原因：政法工作经费、网建经费、工资大幅度提高，按照预算改革的相关要求，从</w:t>
      </w:r>
      <w:r>
        <w:rPr>
          <w:rStyle w:val="20"/>
          <w:rFonts w:hint="eastAsia"/>
          <w:lang w:val="zh-CN"/>
        </w:rPr>
        <w:t>2016</w:t>
      </w:r>
      <w:r>
        <w:rPr>
          <w:rStyle w:val="7"/>
          <w:rFonts w:hint="eastAsia"/>
          <w:lang w:val="zh-CN"/>
        </w:rPr>
        <w:t>年起拨入我委机关账户进行开支。其中：财政拨款收入</w:t>
      </w:r>
      <w:r>
        <w:rPr>
          <w:rStyle w:val="20"/>
          <w:rFonts w:hint="eastAsia"/>
          <w:lang w:val="zh-CN"/>
        </w:rPr>
        <w:t>382.01</w:t>
      </w:r>
      <w:r>
        <w:rPr>
          <w:rStyle w:val="7"/>
          <w:rFonts w:hint="eastAsia"/>
          <w:lang w:val="zh-CN"/>
        </w:rPr>
        <w:t>万元，占总收入的</w:t>
      </w:r>
      <w:r>
        <w:rPr>
          <w:rStyle w:val="20"/>
          <w:rFonts w:hint="eastAsia"/>
          <w:lang w:val="zh-CN"/>
        </w:rPr>
        <w:t>96.82%</w:t>
      </w:r>
      <w:r>
        <w:rPr>
          <w:rStyle w:val="7"/>
          <w:rFonts w:hint="eastAsia"/>
          <w:spacing w:val="-30"/>
          <w:lang w:val="zh-CN"/>
        </w:rPr>
        <w:t>。；</w:t>
      </w:r>
      <w:r>
        <w:rPr>
          <w:rStyle w:val="7"/>
          <w:rFonts w:hint="eastAsia"/>
          <w:lang w:val="zh-CN"/>
        </w:rPr>
        <w:t>其他收入</w:t>
      </w:r>
      <w:r>
        <w:rPr>
          <w:rStyle w:val="20"/>
          <w:rFonts w:hint="eastAsia"/>
          <w:lang w:val="zh-CN"/>
        </w:rPr>
        <w:t>12.54</w:t>
      </w:r>
      <w:r>
        <w:rPr>
          <w:rStyle w:val="7"/>
          <w:rFonts w:hint="eastAsia"/>
          <w:lang w:val="zh-CN"/>
        </w:rPr>
        <w:t>万元，占总收入的</w:t>
      </w:r>
      <w:r>
        <w:rPr>
          <w:rStyle w:val="20"/>
          <w:rFonts w:hint="eastAsia"/>
          <w:lang w:val="zh-CN"/>
        </w:rPr>
        <w:t>3.18%.</w:t>
      </w:r>
    </w:p>
    <w:p>
      <w:pPr>
        <w:pStyle w:val="22"/>
        <w:widowControl/>
        <w:spacing w:line="624" w:lineRule="exact"/>
        <w:ind w:firstLine="881" w:firstLineChars="244"/>
        <w:rPr>
          <w:rStyle w:val="20"/>
          <w:sz w:val="30"/>
          <w:szCs w:val="30"/>
          <w:lang w:val="zh-CN"/>
        </w:rPr>
      </w:pPr>
      <w:r>
        <w:rPr>
          <w:rStyle w:val="20"/>
          <w:rFonts w:hint="eastAsia"/>
          <w:sz w:val="30"/>
          <w:szCs w:val="30"/>
          <w:lang w:val="zh-CN"/>
        </w:rPr>
        <w:t>二、支出总体情况</w:t>
      </w:r>
    </w:p>
    <w:p>
      <w:pPr>
        <w:pStyle w:val="21"/>
        <w:widowControl/>
        <w:spacing w:line="619" w:lineRule="exact"/>
        <w:ind w:left="29" w:leftChars="14" w:firstLine="777" w:firstLineChars="242"/>
        <w:rPr>
          <w:rStyle w:val="7"/>
          <w:spacing w:val="30"/>
          <w:sz w:val="26"/>
          <w:szCs w:val="26"/>
          <w:lang w:val="zh-CN"/>
        </w:rPr>
      </w:pPr>
      <w:r>
        <w:rPr>
          <w:rStyle w:val="20"/>
          <w:rFonts w:hint="eastAsia"/>
          <w:lang w:val="zh-CN"/>
        </w:rPr>
        <w:t>2016</w:t>
      </w:r>
      <w:r>
        <w:rPr>
          <w:rStyle w:val="7"/>
          <w:rFonts w:hint="eastAsia"/>
          <w:lang w:val="zh-CN"/>
        </w:rPr>
        <w:t>年部门决算总支出</w:t>
      </w:r>
      <w:r>
        <w:rPr>
          <w:rStyle w:val="20"/>
          <w:rFonts w:hint="eastAsia"/>
          <w:lang w:val="zh-CN"/>
        </w:rPr>
        <w:t>394.55</w:t>
      </w:r>
      <w:r>
        <w:rPr>
          <w:rStyle w:val="7"/>
          <w:rFonts w:hint="eastAsia"/>
          <w:lang w:val="zh-CN"/>
        </w:rPr>
        <w:t>万元，比</w:t>
      </w:r>
      <w:r>
        <w:rPr>
          <w:rStyle w:val="20"/>
          <w:rFonts w:hint="eastAsia"/>
          <w:lang w:val="zh-CN"/>
        </w:rPr>
        <w:t>2015</w:t>
      </w:r>
      <w:r>
        <w:rPr>
          <w:rStyle w:val="7"/>
          <w:rFonts w:hint="eastAsia"/>
          <w:lang w:val="zh-CN"/>
        </w:rPr>
        <w:t>年部门决算总支出增加</w:t>
      </w:r>
      <w:r>
        <w:rPr>
          <w:rStyle w:val="20"/>
          <w:rFonts w:hint="eastAsia"/>
          <w:lang w:val="zh-CN"/>
        </w:rPr>
        <w:t>36.06</w:t>
      </w:r>
      <w:r>
        <w:rPr>
          <w:rStyle w:val="7"/>
          <w:rFonts w:hint="eastAsia"/>
          <w:lang w:val="zh-CN"/>
        </w:rPr>
        <w:t>万元，增长</w:t>
      </w:r>
      <w:r>
        <w:rPr>
          <w:rStyle w:val="20"/>
          <w:rFonts w:hint="eastAsia"/>
          <w:lang w:val="zh-CN"/>
        </w:rPr>
        <w:t>10%</w:t>
      </w:r>
      <w:r>
        <w:rPr>
          <w:rStyle w:val="7"/>
          <w:rFonts w:hint="eastAsia"/>
          <w:spacing w:val="-30"/>
          <w:lang w:val="zh-CN"/>
        </w:rPr>
        <w:t>。；比</w:t>
      </w:r>
      <w:r>
        <w:rPr>
          <w:rStyle w:val="20"/>
          <w:rFonts w:hint="eastAsia"/>
          <w:lang w:val="zh-CN"/>
        </w:rPr>
        <w:t>2016</w:t>
      </w:r>
      <w:r>
        <w:rPr>
          <w:rStyle w:val="7"/>
          <w:rFonts w:hint="eastAsia"/>
          <w:spacing w:val="-30"/>
          <w:lang w:val="zh-CN"/>
        </w:rPr>
        <w:t>年</w:t>
      </w:r>
      <w:r>
        <w:rPr>
          <w:rStyle w:val="7"/>
          <w:rFonts w:hint="eastAsia"/>
          <w:lang w:val="zh-CN"/>
        </w:rPr>
        <w:t>预算总支出增加</w:t>
      </w:r>
      <w:r>
        <w:rPr>
          <w:rStyle w:val="20"/>
          <w:rFonts w:hint="eastAsia"/>
          <w:lang w:val="zh-CN"/>
        </w:rPr>
        <w:t>159.75</w:t>
      </w:r>
      <w:r>
        <w:rPr>
          <w:rStyle w:val="7"/>
          <w:rFonts w:hint="eastAsia"/>
          <w:lang w:val="zh-CN"/>
        </w:rPr>
        <w:t>万元，增长</w:t>
      </w:r>
      <w:r>
        <w:rPr>
          <w:rStyle w:val="20"/>
          <w:rFonts w:hint="eastAsia"/>
          <w:lang w:val="zh-CN"/>
        </w:rPr>
        <w:t>68%。</w:t>
      </w:r>
      <w:r>
        <w:rPr>
          <w:rStyle w:val="7"/>
          <w:rFonts w:hint="eastAsia"/>
          <w:lang w:val="zh-CN"/>
        </w:rPr>
        <w:t>增加的主要原因：政法工作经费、网建经费、工资等项目支出，以往年度在县财政账户中代列，按照预算改革的相关要求，</w:t>
      </w:r>
      <w:r>
        <w:rPr>
          <w:rStyle w:val="7"/>
          <w:rFonts w:hint="eastAsia"/>
          <w:spacing w:val="-30"/>
          <w:lang w:val="zh-CN"/>
        </w:rPr>
        <w:t>从2016</w:t>
      </w:r>
      <w:r>
        <w:rPr>
          <w:rStyle w:val="7"/>
          <w:rFonts w:hint="eastAsia"/>
          <w:lang w:val="zh-CN"/>
        </w:rPr>
        <w:t>年起拨入我委机关账户进行开支。其中：财政拨款支出</w:t>
      </w:r>
      <w:r>
        <w:rPr>
          <w:rStyle w:val="20"/>
          <w:rFonts w:hint="eastAsia"/>
          <w:lang w:val="zh-CN"/>
        </w:rPr>
        <w:t>382.01</w:t>
      </w:r>
      <w:r>
        <w:rPr>
          <w:rStyle w:val="7"/>
          <w:rFonts w:hint="eastAsia"/>
          <w:lang w:val="zh-CN"/>
        </w:rPr>
        <w:t>万元，占本年支出的</w:t>
      </w:r>
      <w:r>
        <w:rPr>
          <w:rStyle w:val="20"/>
          <w:rFonts w:hint="eastAsia"/>
          <w:lang w:val="zh-CN"/>
        </w:rPr>
        <w:t>96.82%。</w:t>
      </w:r>
      <w:r>
        <w:rPr>
          <w:rStyle w:val="7"/>
          <w:rFonts w:hint="eastAsia"/>
          <w:lang w:val="zh-CN"/>
        </w:rPr>
        <w:t>财政拨款支出中,</w:t>
      </w:r>
      <w:r>
        <w:rPr>
          <w:rStyle w:val="7"/>
          <w:lang w:val="zh-CN"/>
        </w:rPr>
        <w:t xml:space="preserve"> </w:t>
      </w:r>
      <w:r>
        <w:rPr>
          <w:rStyle w:val="7"/>
          <w:rFonts w:hint="eastAsia"/>
          <w:lang w:val="zh-CN"/>
        </w:rPr>
        <w:t>基本支出</w:t>
      </w:r>
      <w:r>
        <w:rPr>
          <w:rStyle w:val="20"/>
          <w:rFonts w:hint="eastAsia"/>
          <w:lang w:val="zh-CN"/>
        </w:rPr>
        <w:t>330.51</w:t>
      </w:r>
      <w:r>
        <w:rPr>
          <w:rStyle w:val="14"/>
          <w:rFonts w:hint="eastAsia"/>
          <w:lang w:val="zh-CN"/>
        </w:rPr>
        <w:t>万元，</w:t>
      </w:r>
      <w:r>
        <w:rPr>
          <w:rStyle w:val="7"/>
          <w:rFonts w:hint="eastAsia"/>
          <w:lang w:val="zh-CN"/>
        </w:rPr>
        <w:t>占本年财政拨款支出的</w:t>
      </w:r>
      <w:r>
        <w:rPr>
          <w:rStyle w:val="20"/>
          <w:rFonts w:hint="eastAsia"/>
          <w:lang w:val="zh-CN"/>
        </w:rPr>
        <w:t>86.51%.</w:t>
      </w:r>
      <w:r>
        <w:rPr>
          <w:rStyle w:val="7"/>
          <w:rFonts w:hint="eastAsia"/>
          <w:lang w:val="zh-CN"/>
        </w:rPr>
        <w:t>其中：工资福利支出</w:t>
      </w:r>
      <w:r>
        <w:rPr>
          <w:rStyle w:val="20"/>
          <w:rFonts w:hint="eastAsia"/>
          <w:lang w:val="zh-CN"/>
        </w:rPr>
        <w:t>216.35</w:t>
      </w:r>
      <w:r>
        <w:rPr>
          <w:rStyle w:val="7"/>
          <w:rFonts w:hint="eastAsia"/>
          <w:lang w:val="zh-CN"/>
        </w:rPr>
        <w:t>万元，对个人和家庭的补助</w:t>
      </w:r>
      <w:r>
        <w:rPr>
          <w:rStyle w:val="20"/>
          <w:rFonts w:hint="eastAsia"/>
          <w:lang w:val="zh-CN"/>
        </w:rPr>
        <w:t>52.55</w:t>
      </w:r>
      <w:r>
        <w:rPr>
          <w:rStyle w:val="7"/>
          <w:rFonts w:hint="eastAsia"/>
          <w:lang w:val="zh-CN"/>
        </w:rPr>
        <w:t>万元，商品和服务支出</w:t>
      </w:r>
      <w:r>
        <w:rPr>
          <w:rStyle w:val="20"/>
          <w:rFonts w:hint="eastAsia"/>
          <w:lang w:val="zh-CN"/>
        </w:rPr>
        <w:t>61.61</w:t>
      </w:r>
      <w:r>
        <w:rPr>
          <w:rStyle w:val="7"/>
          <w:rFonts w:hint="eastAsia"/>
          <w:lang w:val="zh-CN"/>
        </w:rPr>
        <w:t>万元；项目支出</w:t>
      </w:r>
      <w:r>
        <w:rPr>
          <w:rStyle w:val="20"/>
          <w:rFonts w:hint="eastAsia"/>
          <w:lang w:val="zh-CN"/>
        </w:rPr>
        <w:t>51.50</w:t>
      </w:r>
      <w:r>
        <w:rPr>
          <w:rStyle w:val="7"/>
          <w:rFonts w:hint="eastAsia"/>
          <w:lang w:val="zh-CN"/>
        </w:rPr>
        <w:t>万元，占本年财政拨款支出的</w:t>
      </w:r>
      <w:r>
        <w:rPr>
          <w:rStyle w:val="20"/>
          <w:rFonts w:hint="eastAsia"/>
          <w:lang w:val="zh-CN"/>
        </w:rPr>
        <w:t>13.48%,</w:t>
      </w:r>
      <w:r>
        <w:rPr>
          <w:rStyle w:val="7"/>
          <w:rFonts w:hint="eastAsia"/>
          <w:lang w:val="zh-CN"/>
        </w:rPr>
        <w:t>主要是维持机构正常运转、开展政法工作所发生的政法事务支出。</w:t>
      </w:r>
    </w:p>
    <w:p>
      <w:pPr>
        <w:pStyle w:val="29"/>
        <w:widowControl/>
        <w:spacing w:line="240" w:lineRule="exact"/>
        <w:ind w:left="917"/>
        <w:rPr>
          <w:sz w:val="20"/>
          <w:szCs w:val="20"/>
        </w:rPr>
      </w:pPr>
    </w:p>
    <w:p>
      <w:pPr>
        <w:pStyle w:val="29"/>
        <w:widowControl/>
        <w:spacing w:before="38"/>
        <w:ind w:firstLine="649" w:firstLineChars="147"/>
        <w:rPr>
          <w:rStyle w:val="28"/>
          <w:lang w:val="zh-CN"/>
        </w:rPr>
      </w:pPr>
      <w:r>
        <w:rPr>
          <w:rStyle w:val="28"/>
          <w:rFonts w:hint="eastAsia"/>
          <w:spacing w:val="70"/>
          <w:lang w:val="zh-CN"/>
        </w:rPr>
        <w:t>(一）</w:t>
      </w:r>
      <w:r>
        <w:rPr>
          <w:rStyle w:val="28"/>
          <w:rFonts w:hint="eastAsia"/>
          <w:lang w:val="zh-CN"/>
        </w:rPr>
        <w:t>“三</w:t>
      </w:r>
      <w:r>
        <w:rPr>
          <w:rStyle w:val="28"/>
          <w:rFonts w:hint="eastAsia"/>
          <w:spacing w:val="-20"/>
          <w:lang w:val="zh-CN"/>
        </w:rPr>
        <w:t>公”</w:t>
      </w:r>
      <w:r>
        <w:rPr>
          <w:rStyle w:val="28"/>
          <w:rFonts w:hint="eastAsia"/>
          <w:lang w:val="zh-CN"/>
        </w:rPr>
        <w:t>经费支出说明。</w:t>
      </w:r>
    </w:p>
    <w:p>
      <w:pPr>
        <w:pStyle w:val="21"/>
        <w:widowControl/>
        <w:spacing w:before="19" w:line="653" w:lineRule="exact"/>
        <w:ind w:left="82" w:right="38" w:firstLine="701"/>
        <w:rPr>
          <w:rStyle w:val="7"/>
          <w:lang w:val="zh-CN"/>
        </w:rPr>
      </w:pPr>
      <w:r>
        <w:rPr>
          <w:rStyle w:val="20"/>
          <w:rFonts w:hint="eastAsia"/>
          <w:lang w:val="zh-CN"/>
        </w:rPr>
        <w:t>2016</w:t>
      </w:r>
      <w:r>
        <w:rPr>
          <w:rStyle w:val="7"/>
          <w:rFonts w:hint="eastAsia"/>
          <w:lang w:val="zh-CN"/>
        </w:rPr>
        <w:t>年“</w:t>
      </w:r>
      <w:r>
        <w:rPr>
          <w:rStyle w:val="14"/>
          <w:rFonts w:hint="eastAsia"/>
          <w:lang w:val="zh-CN"/>
        </w:rPr>
        <w:t>三公</w:t>
      </w:r>
      <w:r>
        <w:rPr>
          <w:rStyle w:val="7"/>
          <w:rFonts w:hint="eastAsia"/>
          <w:lang w:val="zh-CN"/>
        </w:rPr>
        <w:t>经费”财政拨款收入、支出为0</w:t>
      </w:r>
      <w:r>
        <w:rPr>
          <w:rStyle w:val="14"/>
          <w:rFonts w:hint="eastAsia"/>
          <w:lang w:val="zh-CN"/>
        </w:rPr>
        <w:t>万元。</w:t>
      </w:r>
    </w:p>
    <w:p>
      <w:pPr>
        <w:pStyle w:val="21"/>
        <w:widowControl/>
        <w:spacing w:before="19" w:line="653" w:lineRule="exact"/>
        <w:ind w:right="38"/>
        <w:rPr>
          <w:rStyle w:val="28"/>
          <w:spacing w:val="70"/>
          <w:lang w:val="zh-CN"/>
        </w:rPr>
      </w:pPr>
      <w:r>
        <w:rPr>
          <w:rStyle w:val="7"/>
          <w:rFonts w:hint="eastAsia"/>
          <w:lang w:val="zh-CN"/>
        </w:rPr>
        <w:t>（二）</w:t>
      </w:r>
      <w:r>
        <w:rPr>
          <w:rStyle w:val="28"/>
          <w:rFonts w:hint="eastAsia"/>
          <w:lang w:val="zh-CN"/>
        </w:rPr>
        <w:t>机关运行经费支出说明。</w:t>
      </w:r>
    </w:p>
    <w:p>
      <w:pPr>
        <w:pStyle w:val="21"/>
        <w:widowControl/>
        <w:spacing w:before="19" w:line="634" w:lineRule="exact"/>
        <w:ind w:left="29" w:leftChars="14" w:right="10" w:firstLine="803" w:firstLineChars="250"/>
        <w:rPr>
          <w:rStyle w:val="7"/>
          <w:spacing w:val="-30"/>
          <w:lang w:val="zh-CN"/>
        </w:rPr>
      </w:pPr>
      <w:r>
        <w:rPr>
          <w:rStyle w:val="20"/>
          <w:rFonts w:hint="eastAsia"/>
          <w:lang w:val="zh-CN"/>
        </w:rPr>
        <w:t>2016</w:t>
      </w:r>
      <w:r>
        <w:rPr>
          <w:rStyle w:val="7"/>
          <w:rFonts w:hint="eastAsia"/>
          <w:lang w:val="zh-CN"/>
        </w:rPr>
        <w:t>年本部门机关运行经费支出</w:t>
      </w:r>
      <w:r>
        <w:rPr>
          <w:rStyle w:val="20"/>
          <w:rFonts w:hint="eastAsia"/>
          <w:lang w:val="zh-CN"/>
        </w:rPr>
        <w:t>280.76</w:t>
      </w:r>
      <w:r>
        <w:rPr>
          <w:rStyle w:val="7"/>
          <w:rFonts w:hint="eastAsia"/>
          <w:lang w:val="zh-CN"/>
        </w:rPr>
        <w:t>万元，比</w:t>
      </w:r>
      <w:r>
        <w:rPr>
          <w:rStyle w:val="20"/>
          <w:rFonts w:hint="eastAsia"/>
          <w:lang w:val="zh-CN"/>
        </w:rPr>
        <w:t>2015</w:t>
      </w:r>
      <w:r>
        <w:rPr>
          <w:rStyle w:val="7"/>
          <w:rFonts w:hint="eastAsia"/>
          <w:lang w:val="zh-CN"/>
        </w:rPr>
        <w:t>年增加</w:t>
      </w:r>
      <w:r>
        <w:rPr>
          <w:rStyle w:val="20"/>
          <w:rFonts w:hint="eastAsia"/>
          <w:lang w:val="zh-CN"/>
        </w:rPr>
        <w:t>58.56</w:t>
      </w:r>
      <w:r>
        <w:rPr>
          <w:rStyle w:val="7"/>
          <w:rFonts w:hint="eastAsia"/>
          <w:lang w:val="zh-CN"/>
        </w:rPr>
        <w:t>万元，增长</w:t>
      </w:r>
      <w:r>
        <w:rPr>
          <w:rStyle w:val="20"/>
          <w:rFonts w:hint="eastAsia"/>
          <w:lang w:val="zh-CN"/>
        </w:rPr>
        <w:t>26.35%，</w:t>
      </w:r>
      <w:r>
        <w:rPr>
          <w:rStyle w:val="20"/>
          <w:rFonts w:hint="eastAsia"/>
          <w:sz w:val="28"/>
          <w:szCs w:val="28"/>
          <w:lang w:val="zh-CN"/>
        </w:rPr>
        <w:t>增加的</w:t>
      </w:r>
      <w:r>
        <w:rPr>
          <w:rStyle w:val="7"/>
          <w:rFonts w:hint="eastAsia"/>
          <w:lang w:val="zh-CN"/>
        </w:rPr>
        <w:t>主要原因是有关办公费用价格上涨等</w:t>
      </w:r>
      <w:r>
        <w:rPr>
          <w:rStyle w:val="7"/>
          <w:rFonts w:hint="eastAsia"/>
          <w:spacing w:val="-30"/>
          <w:lang w:val="zh-CN"/>
        </w:rPr>
        <w:t>。</w:t>
      </w:r>
    </w:p>
    <w:p>
      <w:pPr>
        <w:pStyle w:val="31"/>
        <w:widowControl/>
        <w:tabs>
          <w:tab w:val="left" w:pos="1627"/>
        </w:tabs>
        <w:spacing w:before="245"/>
        <w:ind w:firstLine="596" w:firstLineChars="198"/>
        <w:rPr>
          <w:rStyle w:val="25"/>
          <w:spacing w:val="70"/>
          <w:lang w:val="zh-CN"/>
        </w:rPr>
      </w:pPr>
      <w:r>
        <w:rPr>
          <w:rStyle w:val="28"/>
          <w:rFonts w:hint="eastAsia"/>
          <w:lang w:val="zh-CN"/>
        </w:rPr>
        <w:t>（三）国有资产占用情况说明。</w:t>
      </w:r>
    </w:p>
    <w:p>
      <w:pPr>
        <w:pStyle w:val="21"/>
        <w:widowControl/>
        <w:spacing w:before="24" w:line="634" w:lineRule="exact"/>
        <w:ind w:left="67" w:right="19" w:firstLine="629"/>
        <w:rPr>
          <w:rStyle w:val="7"/>
          <w:lang w:val="zh-CN"/>
        </w:rPr>
      </w:pPr>
      <w:r>
        <w:rPr>
          <w:rStyle w:val="7"/>
          <w:rFonts w:hint="eastAsia"/>
          <w:lang w:val="zh-CN"/>
        </w:rPr>
        <w:t>截至</w:t>
      </w:r>
      <w:r>
        <w:rPr>
          <w:rStyle w:val="20"/>
          <w:rFonts w:hint="eastAsia"/>
          <w:lang w:val="zh-CN"/>
        </w:rPr>
        <w:t>2016</w:t>
      </w:r>
      <w:r>
        <w:rPr>
          <w:rStyle w:val="7"/>
          <w:rFonts w:hint="eastAsia"/>
          <w:spacing w:val="70"/>
          <w:lang w:val="zh-CN"/>
        </w:rPr>
        <w:t>年</w:t>
      </w:r>
      <w:r>
        <w:rPr>
          <w:rStyle w:val="20"/>
          <w:rFonts w:hint="eastAsia"/>
          <w:lang w:val="zh-CN"/>
        </w:rPr>
        <w:t>12</w:t>
      </w:r>
      <w:r>
        <w:rPr>
          <w:rStyle w:val="7"/>
          <w:rFonts w:hint="eastAsia"/>
          <w:spacing w:val="70"/>
          <w:lang w:val="zh-CN"/>
        </w:rPr>
        <w:t>月</w:t>
      </w:r>
      <w:r>
        <w:rPr>
          <w:rStyle w:val="20"/>
          <w:rFonts w:hint="eastAsia"/>
          <w:lang w:val="zh-CN"/>
        </w:rPr>
        <w:t>31</w:t>
      </w:r>
      <w:r>
        <w:rPr>
          <w:rStyle w:val="7"/>
          <w:rFonts w:hint="eastAsia"/>
          <w:spacing w:val="70"/>
          <w:lang w:val="zh-CN"/>
        </w:rPr>
        <w:t>日，</w:t>
      </w:r>
      <w:r>
        <w:rPr>
          <w:rStyle w:val="7"/>
          <w:rFonts w:hint="eastAsia"/>
          <w:lang w:val="zh-CN"/>
        </w:rPr>
        <w:t>本部门共有车辆</w:t>
      </w:r>
      <w:r>
        <w:rPr>
          <w:rStyle w:val="20"/>
          <w:rFonts w:hint="eastAsia"/>
          <w:lang w:val="zh-CN"/>
        </w:rPr>
        <w:t>2</w:t>
      </w:r>
      <w:r>
        <w:rPr>
          <w:rStyle w:val="7"/>
          <w:rFonts w:hint="eastAsia"/>
          <w:lang w:val="zh-CN"/>
        </w:rPr>
        <w:t>辆，均为</w:t>
      </w:r>
      <w:r>
        <w:rPr>
          <w:rStyle w:val="11"/>
          <w:rFonts w:hint="eastAsia"/>
          <w:lang w:val="zh-CN"/>
        </w:rPr>
        <w:t>一</w:t>
      </w:r>
      <w:r>
        <w:rPr>
          <w:rStyle w:val="7"/>
          <w:rFonts w:hint="eastAsia"/>
          <w:lang w:val="zh-CN"/>
        </w:rPr>
        <w:t>般公务用车。无单位价值</w:t>
      </w:r>
      <w:r>
        <w:rPr>
          <w:rStyle w:val="20"/>
          <w:rFonts w:hint="eastAsia"/>
          <w:lang w:val="zh-CN"/>
        </w:rPr>
        <w:t>200</w:t>
      </w:r>
      <w:r>
        <w:rPr>
          <w:rStyle w:val="7"/>
          <w:rFonts w:hint="eastAsia"/>
          <w:lang w:val="zh-CN"/>
        </w:rPr>
        <w:t>万元以上的设备。</w:t>
      </w:r>
    </w:p>
    <w:p>
      <w:pPr>
        <w:rPr>
          <w:rStyle w:val="28"/>
          <w:lang w:val="zh-CN"/>
        </w:rPr>
      </w:pPr>
      <w:r>
        <w:rPr>
          <w:rStyle w:val="28"/>
          <w:rFonts w:hint="eastAsia"/>
          <w:lang w:val="zh-CN"/>
        </w:rPr>
        <w:t xml:space="preserve">     (四)预算绩效管理工作开展情况。</w:t>
      </w:r>
    </w:p>
    <w:p>
      <w:pPr>
        <w:pStyle w:val="21"/>
        <w:widowControl/>
        <w:spacing w:line="240" w:lineRule="auto"/>
        <w:ind w:left="160" w:leftChars="76" w:firstLine="633" w:firstLineChars="197"/>
        <w:rPr>
          <w:rStyle w:val="7"/>
          <w:lang w:val="zh-CN"/>
        </w:rPr>
      </w:pPr>
      <w:r>
        <w:rPr>
          <w:rStyle w:val="7"/>
          <w:rFonts w:hint="eastAsia"/>
          <w:lang w:val="zh-CN"/>
        </w:rPr>
        <w:t>政法委</w:t>
      </w:r>
      <w:r>
        <w:rPr>
          <w:rStyle w:val="20"/>
          <w:rFonts w:hint="eastAsia"/>
          <w:lang w:val="zh-CN"/>
        </w:rPr>
        <w:t>2016</w:t>
      </w:r>
      <w:r>
        <w:rPr>
          <w:rStyle w:val="7"/>
          <w:rFonts w:hint="eastAsia"/>
          <w:lang w:val="zh-CN"/>
        </w:rPr>
        <w:t>年部门决算无进行预算绩效评价的民生项目和重点支出项目支出。</w:t>
      </w:r>
    </w:p>
    <w:p>
      <w:pPr>
        <w:pStyle w:val="32"/>
        <w:widowControl/>
        <w:spacing w:before="130"/>
        <w:ind w:left="662" w:right="4166"/>
        <w:rPr>
          <w:rStyle w:val="7"/>
          <w:lang w:val="zh-CN"/>
        </w:rPr>
      </w:pPr>
      <w:r>
        <w:rPr>
          <w:rStyle w:val="7"/>
          <w:rFonts w:hint="eastAsia"/>
          <w:lang w:val="zh-CN"/>
        </w:rPr>
        <w:t xml:space="preserve">    </w:t>
      </w:r>
    </w:p>
    <w:p>
      <w:pPr>
        <w:pStyle w:val="32"/>
        <w:widowControl/>
        <w:spacing w:before="130"/>
        <w:ind w:left="662" w:right="4166"/>
        <w:rPr>
          <w:rStyle w:val="7"/>
          <w:lang w:val="zh-CN"/>
        </w:rPr>
      </w:pPr>
    </w:p>
    <w:p>
      <w:pPr>
        <w:pStyle w:val="32"/>
        <w:widowControl/>
        <w:spacing w:before="130"/>
        <w:ind w:left="662" w:right="4166"/>
        <w:rPr>
          <w:rStyle w:val="7"/>
          <w:lang w:val="zh-CN"/>
        </w:rPr>
      </w:pPr>
    </w:p>
    <w:p>
      <w:pPr>
        <w:pStyle w:val="32"/>
        <w:widowControl/>
        <w:spacing w:before="130"/>
        <w:ind w:left="662" w:right="4166"/>
        <w:rPr>
          <w:rStyle w:val="7"/>
          <w:lang w:val="zh-CN"/>
        </w:rPr>
      </w:pPr>
    </w:p>
    <w:p>
      <w:pPr>
        <w:pStyle w:val="32"/>
        <w:widowControl/>
        <w:spacing w:before="130"/>
        <w:ind w:left="662" w:right="4166"/>
        <w:rPr>
          <w:rStyle w:val="7"/>
          <w:lang w:val="zh-CN"/>
        </w:rPr>
      </w:pPr>
    </w:p>
    <w:p>
      <w:pPr>
        <w:pStyle w:val="32"/>
        <w:widowControl/>
        <w:spacing w:before="130"/>
        <w:ind w:left="662" w:right="4166"/>
        <w:rPr>
          <w:rStyle w:val="7"/>
          <w:lang w:val="zh-CN"/>
        </w:rPr>
      </w:pPr>
    </w:p>
    <w:p>
      <w:pPr>
        <w:pStyle w:val="32"/>
        <w:widowControl/>
        <w:spacing w:before="130"/>
        <w:ind w:right="4166" w:firstLine="0"/>
        <w:rPr>
          <w:rStyle w:val="7"/>
          <w:lang w:val="zh-CN"/>
        </w:rPr>
      </w:pPr>
    </w:p>
    <w:p>
      <w:pPr>
        <w:pStyle w:val="32"/>
        <w:widowControl/>
        <w:spacing w:before="130"/>
        <w:ind w:right="2966" w:firstLine="602" w:firstLineChars="150"/>
        <w:jc w:val="right"/>
        <w:rPr>
          <w:rStyle w:val="7"/>
          <w:sz w:val="36"/>
          <w:szCs w:val="36"/>
          <w:lang w:val="zh-CN"/>
        </w:rPr>
      </w:pPr>
      <w:r>
        <w:rPr>
          <w:rStyle w:val="7"/>
          <w:rFonts w:hint="eastAsia"/>
          <w:sz w:val="36"/>
          <w:szCs w:val="36"/>
          <w:lang w:val="zh-CN"/>
        </w:rPr>
        <w:t>第四部分 名词解释</w:t>
      </w:r>
    </w:p>
    <w:p>
      <w:pPr>
        <w:pStyle w:val="32"/>
        <w:widowControl/>
        <w:spacing w:before="130"/>
        <w:ind w:left="662" w:right="4166"/>
        <w:rPr>
          <w:rStyle w:val="7"/>
          <w:sz w:val="32"/>
          <w:szCs w:val="32"/>
          <w:lang w:val="zh-CN"/>
        </w:rPr>
      </w:pPr>
    </w:p>
    <w:p>
      <w:pPr>
        <w:pStyle w:val="21"/>
        <w:widowControl/>
        <w:spacing w:before="58" w:line="619" w:lineRule="exact"/>
        <w:ind w:left="653" w:firstLine="0"/>
        <w:jc w:val="left"/>
        <w:rPr>
          <w:rStyle w:val="7"/>
          <w:lang w:val="zh-CN"/>
        </w:rPr>
      </w:pPr>
      <w:r>
        <w:rPr>
          <w:rStyle w:val="7"/>
          <w:rFonts w:hint="eastAsia"/>
          <w:lang w:val="zh-CN"/>
        </w:rPr>
        <w:t>财政拨款收入：指县财政当年拨付的资金。</w:t>
      </w:r>
    </w:p>
    <w:p>
      <w:pPr>
        <w:pStyle w:val="21"/>
        <w:widowControl/>
        <w:spacing w:line="619" w:lineRule="exact"/>
        <w:ind w:left="662" w:firstLine="0"/>
        <w:jc w:val="left"/>
        <w:rPr>
          <w:rStyle w:val="7"/>
          <w:lang w:val="zh-CN"/>
        </w:rPr>
      </w:pPr>
      <w:r>
        <w:rPr>
          <w:rStyle w:val="7"/>
          <w:rFonts w:hint="eastAsia"/>
          <w:lang w:val="zh-CN"/>
        </w:rPr>
        <w:t>事业收入：指事业单位开展专业业务活动及辅助活动所</w:t>
      </w:r>
    </w:p>
    <w:p>
      <w:pPr>
        <w:pStyle w:val="32"/>
        <w:widowControl/>
        <w:spacing w:line="619" w:lineRule="exact"/>
        <w:ind w:left="5" w:firstLine="0"/>
        <w:jc w:val="both"/>
        <w:rPr>
          <w:rStyle w:val="7"/>
          <w:lang w:val="zh-CN"/>
        </w:rPr>
      </w:pPr>
      <w:r>
        <w:rPr>
          <w:rStyle w:val="7"/>
          <w:rFonts w:hint="eastAsia"/>
          <w:lang w:val="zh-CN"/>
        </w:rPr>
        <w:t>取得的收入。</w:t>
      </w:r>
    </w:p>
    <w:p>
      <w:pPr>
        <w:pStyle w:val="21"/>
        <w:widowControl/>
        <w:spacing w:line="614" w:lineRule="exact"/>
        <w:ind w:left="53" w:right="58" w:firstLine="605"/>
        <w:rPr>
          <w:rStyle w:val="7"/>
          <w:lang w:val="zh-CN"/>
        </w:rPr>
      </w:pPr>
      <w:r>
        <w:rPr>
          <w:rStyle w:val="7"/>
          <w:rFonts w:hint="eastAsia"/>
          <w:lang w:val="zh-CN"/>
        </w:rPr>
        <w:t>其他收入：指除上述“财政拨款收入”、“事业收入”等以外的收入。主要是银行存款利息收入等。</w:t>
      </w:r>
    </w:p>
    <w:p>
      <w:pPr>
        <w:pStyle w:val="21"/>
        <w:widowControl/>
        <w:ind w:left="677" w:firstLine="0"/>
        <w:jc w:val="left"/>
        <w:rPr>
          <w:rStyle w:val="7"/>
          <w:lang w:val="zh-CN"/>
        </w:rPr>
      </w:pPr>
      <w:r>
        <w:rPr>
          <w:rStyle w:val="7"/>
          <w:rFonts w:hint="eastAsia"/>
          <w:lang w:val="zh-CN"/>
        </w:rPr>
        <w:t>年初结转和结余：指以前年度尚未完成、结转到本年按</w:t>
      </w:r>
    </w:p>
    <w:p>
      <w:pPr>
        <w:pStyle w:val="32"/>
        <w:widowControl/>
        <w:spacing w:before="5" w:line="624" w:lineRule="exact"/>
        <w:ind w:left="34" w:firstLine="0"/>
        <w:rPr>
          <w:rStyle w:val="7"/>
          <w:lang w:val="zh-CN"/>
        </w:rPr>
      </w:pPr>
      <w:r>
        <w:rPr>
          <w:rStyle w:val="7"/>
          <w:rFonts w:hint="eastAsia"/>
          <w:lang w:val="zh-CN"/>
        </w:rPr>
        <w:t>有关规定继续使用的资金。</w:t>
      </w:r>
    </w:p>
    <w:p>
      <w:pPr>
        <w:pStyle w:val="21"/>
        <w:widowControl/>
        <w:ind w:left="696" w:firstLine="0"/>
        <w:jc w:val="left"/>
        <w:rPr>
          <w:rStyle w:val="7"/>
          <w:lang w:val="zh-CN"/>
        </w:rPr>
      </w:pPr>
      <w:r>
        <w:rPr>
          <w:rStyle w:val="7"/>
          <w:rFonts w:hint="eastAsia"/>
          <w:lang w:val="zh-CN"/>
        </w:rPr>
        <w:t>一般公共服务〔类〉财政事务〔款〕行政运行〔项》</w:t>
      </w:r>
    </w:p>
    <w:p>
      <w:pPr>
        <w:pStyle w:val="32"/>
        <w:widowControl/>
        <w:spacing w:before="5" w:line="624" w:lineRule="exact"/>
        <w:ind w:left="34" w:firstLine="0"/>
        <w:jc w:val="both"/>
        <w:rPr>
          <w:rStyle w:val="7"/>
          <w:lang w:val="zh-CN"/>
        </w:rPr>
      </w:pPr>
      <w:r>
        <w:rPr>
          <w:rStyle w:val="7"/>
          <w:rFonts w:hint="eastAsia"/>
          <w:lang w:val="zh-CN"/>
        </w:rPr>
        <w:t>指县行政单位及参照公务员法管理的事业单位用于保障机构正常运行、开展日常工作的支出。</w:t>
      </w:r>
    </w:p>
    <w:p>
      <w:pPr>
        <w:pStyle w:val="21"/>
        <w:widowControl/>
        <w:ind w:firstLine="0"/>
        <w:jc w:val="left"/>
        <w:rPr>
          <w:rStyle w:val="7"/>
          <w:lang w:val="zh-CN"/>
        </w:rPr>
      </w:pPr>
      <w:r>
        <w:rPr>
          <w:rStyle w:val="7"/>
          <w:rFonts w:hint="eastAsia"/>
          <w:lang w:val="zh-CN"/>
        </w:rPr>
        <w:t xml:space="preserve">    社会保障和就业</w:t>
      </w:r>
      <w:r>
        <w:rPr>
          <w:rStyle w:val="7"/>
          <w:rFonts w:hint="eastAsia"/>
          <w:spacing w:val="70"/>
          <w:lang w:val="zh-CN"/>
        </w:rPr>
        <w:t>（类）</w:t>
      </w:r>
      <w:r>
        <w:rPr>
          <w:rStyle w:val="7"/>
          <w:rFonts w:hint="eastAsia"/>
          <w:lang w:val="zh-CN"/>
        </w:rPr>
        <w:t>行政事业单位离退休（款）归口管理的行政单位离退休</w:t>
      </w:r>
      <w:r>
        <w:rPr>
          <w:rStyle w:val="7"/>
          <w:rFonts w:hint="eastAsia"/>
          <w:spacing w:val="70"/>
          <w:lang w:val="zh-CN"/>
        </w:rPr>
        <w:t>（项</w:t>
      </w:r>
      <w:r>
        <w:rPr>
          <w:rStyle w:val="7"/>
          <w:rFonts w:hint="eastAsia"/>
          <w:lang w:val="zh-CN"/>
        </w:rPr>
        <w:t>）：指政法行政单位离退休人员的支出。</w:t>
      </w:r>
    </w:p>
    <w:p>
      <w:pPr>
        <w:pStyle w:val="21"/>
        <w:widowControl/>
        <w:ind w:left="10" w:right="38" w:firstLine="648"/>
        <w:rPr>
          <w:rStyle w:val="7"/>
          <w:lang w:val="zh-CN"/>
        </w:rPr>
      </w:pPr>
      <w:r>
        <w:rPr>
          <w:rStyle w:val="7"/>
          <w:rFonts w:hint="eastAsia"/>
          <w:lang w:val="zh-CN"/>
        </w:rPr>
        <w:t>社会保障和就业</w:t>
      </w:r>
      <w:r>
        <w:rPr>
          <w:rStyle w:val="7"/>
          <w:rFonts w:hint="eastAsia"/>
          <w:spacing w:val="70"/>
          <w:lang w:val="zh-CN"/>
        </w:rPr>
        <w:t>（类）</w:t>
      </w:r>
      <w:r>
        <w:rPr>
          <w:rStyle w:val="7"/>
          <w:rFonts w:hint="eastAsia"/>
          <w:lang w:val="zh-CN"/>
        </w:rPr>
        <w:t>行政事业单位离退休（款）其他行政事业单位离退休支出</w:t>
      </w:r>
      <w:r>
        <w:rPr>
          <w:rStyle w:val="7"/>
          <w:rFonts w:hint="eastAsia"/>
          <w:spacing w:val="70"/>
          <w:lang w:val="zh-CN"/>
        </w:rPr>
        <w:t>（项</w:t>
      </w:r>
      <w:r>
        <w:rPr>
          <w:rStyle w:val="7"/>
          <w:rFonts w:hint="eastAsia"/>
          <w:lang w:val="zh-CN"/>
        </w:rPr>
        <w:t>）指行政事业单位离退休人员的其他支出。</w:t>
      </w:r>
    </w:p>
    <w:p>
      <w:pPr>
        <w:pStyle w:val="21"/>
        <w:widowControl/>
        <w:ind w:left="19" w:right="19" w:firstLine="648"/>
        <w:rPr>
          <w:rStyle w:val="7"/>
          <w:lang w:val="zh-CN"/>
        </w:rPr>
      </w:pPr>
      <w:r>
        <w:rPr>
          <w:rStyle w:val="7"/>
          <w:rFonts w:hint="eastAsia"/>
          <w:lang w:val="zh-CN"/>
        </w:rPr>
        <w:t>年末结转和结余：指本年度或以前年度预算安排、因客观条件发生变化无法按原计划实施，需要延迟到以后年度按有关规定继续使用的资金。</w:t>
      </w:r>
    </w:p>
    <w:p>
      <w:pPr>
        <w:pStyle w:val="21"/>
        <w:widowControl/>
        <w:spacing w:before="14"/>
        <w:ind w:left="48" w:right="19" w:firstLine="614"/>
        <w:rPr>
          <w:rStyle w:val="7"/>
          <w:lang w:val="zh-CN"/>
        </w:rPr>
      </w:pPr>
      <w:r>
        <w:rPr>
          <w:rStyle w:val="7"/>
          <w:rFonts w:hint="eastAsia"/>
          <w:lang w:val="zh-CN"/>
        </w:rPr>
        <w:t>基本支出：指为保障机构正常运转、完成日常工作任务而发生的人员支出和公用支出。</w:t>
      </w:r>
    </w:p>
    <w:p>
      <w:pPr>
        <w:pStyle w:val="21"/>
        <w:widowControl/>
        <w:spacing w:before="5"/>
        <w:ind w:left="43" w:right="24" w:firstLine="638"/>
        <w:rPr>
          <w:rStyle w:val="7"/>
          <w:lang w:val="zh-CN"/>
        </w:rPr>
      </w:pPr>
      <w:r>
        <w:rPr>
          <w:rStyle w:val="7"/>
          <w:rFonts w:hint="eastAsia"/>
          <w:lang w:val="zh-CN"/>
        </w:rPr>
        <w:t>项目支出：指在基本支出之外为完成特定行政任务和事业发展目标所发生的支出。</w:t>
      </w:r>
    </w:p>
    <w:p>
      <w:pPr>
        <w:pStyle w:val="22"/>
        <w:widowControl/>
        <w:spacing w:line="624" w:lineRule="exact"/>
        <w:ind w:left="43" w:firstLine="758"/>
        <w:rPr>
          <w:rStyle w:val="7"/>
          <w:lang w:val="zh-CN"/>
        </w:rPr>
      </w:pPr>
      <w:r>
        <w:rPr>
          <w:rStyle w:val="14"/>
          <w:rFonts w:hint="eastAsia"/>
          <w:spacing w:val="60"/>
          <w:lang w:val="zh-CN"/>
        </w:rPr>
        <w:t>“三</w:t>
      </w:r>
      <w:r>
        <w:rPr>
          <w:rStyle w:val="7"/>
          <w:rFonts w:hint="eastAsia"/>
          <w:lang w:val="zh-CN"/>
        </w:rPr>
        <w:t>公”经费：纳入县财政预决算管理的“</w:t>
      </w:r>
      <w:r>
        <w:rPr>
          <w:rStyle w:val="14"/>
          <w:rFonts w:hint="eastAsia"/>
          <w:spacing w:val="60"/>
          <w:lang w:val="zh-CN"/>
        </w:rPr>
        <w:t>三</w:t>
      </w:r>
      <w:r>
        <w:rPr>
          <w:rStyle w:val="7"/>
          <w:rFonts w:hint="eastAsia"/>
          <w:lang w:val="zh-CN"/>
        </w:rPr>
        <w:t>公”经费，是指财政部门用财政拨款安排的因公出国</w:t>
      </w:r>
      <w:r>
        <w:rPr>
          <w:rStyle w:val="7"/>
          <w:rFonts w:hint="eastAsia"/>
          <w:spacing w:val="70"/>
          <w:lang w:val="zh-CN"/>
        </w:rPr>
        <w:t>（境）</w:t>
      </w:r>
      <w:r>
        <w:rPr>
          <w:rStyle w:val="7"/>
          <w:rFonts w:hint="eastAsia"/>
          <w:lang w:val="zh-CN"/>
        </w:rPr>
        <w:t>费、公务用车购置及运行费和公务接待费。其中，因公出国</w:t>
      </w:r>
      <w:r>
        <w:rPr>
          <w:rStyle w:val="7"/>
          <w:rFonts w:hint="eastAsia"/>
          <w:spacing w:val="70"/>
          <w:lang w:val="zh-CN"/>
        </w:rPr>
        <w:t>（境）</w:t>
      </w:r>
      <w:r>
        <w:rPr>
          <w:rStyle w:val="7"/>
          <w:spacing w:val="70"/>
          <w:lang w:val="zh-CN"/>
        </w:rPr>
        <w:t xml:space="preserve"> </w:t>
      </w:r>
      <w:r>
        <w:rPr>
          <w:rStyle w:val="7"/>
          <w:rFonts w:hint="eastAsia"/>
          <w:lang w:val="zh-CN"/>
        </w:rPr>
        <w:t>费反映单位公务出国</w:t>
      </w:r>
      <w:r>
        <w:rPr>
          <w:rStyle w:val="7"/>
          <w:rFonts w:hint="eastAsia"/>
          <w:spacing w:val="70"/>
          <w:lang w:val="zh-CN"/>
        </w:rPr>
        <w:t>（境）</w:t>
      </w:r>
      <w:r>
        <w:rPr>
          <w:rStyle w:val="7"/>
          <w:rFonts w:hint="eastAsia"/>
          <w:lang w:val="zh-CN"/>
        </w:rPr>
        <w:t>的国际旅费、国外城巿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w:t>
      </w:r>
      <w:r>
        <w:rPr>
          <w:rStyle w:val="7"/>
          <w:rFonts w:hint="eastAsia"/>
          <w:spacing w:val="70"/>
          <w:lang w:val="zh-CN"/>
        </w:rPr>
        <w:t>待）</w:t>
      </w:r>
      <w:r>
        <w:rPr>
          <w:rStyle w:val="7"/>
          <w:rFonts w:hint="eastAsia"/>
          <w:lang w:val="zh-CN"/>
        </w:rPr>
        <w:t>支出。</w:t>
      </w:r>
    </w:p>
    <w:p>
      <w:pPr>
        <w:ind w:firstLine="642" w:firstLineChars="200"/>
        <w:rPr>
          <w:rStyle w:val="7"/>
          <w:spacing w:val="-10"/>
          <w:position w:val="-4"/>
          <w:lang w:val="zh-CN"/>
        </w:rPr>
      </w:pPr>
      <w:r>
        <w:rPr>
          <w:rStyle w:val="7"/>
          <w:rFonts w:hint="eastAsia"/>
          <w:lang w:val="zh-CN"/>
        </w:rPr>
        <w:t>行政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4579"/>
      <w:docPartObj>
        <w:docPartGallery w:val="AutoText"/>
      </w:docPartObj>
    </w:sdtPr>
    <w:sdtContent>
      <w:p>
        <w:pPr>
          <w:pStyle w:val="3"/>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506FD"/>
    <w:multiLevelType w:val="multilevel"/>
    <w:tmpl w:val="1B2506FD"/>
    <w:lvl w:ilvl="0" w:tentative="0">
      <w:start w:val="1"/>
      <w:numFmt w:val="japaneseCounting"/>
      <w:lvlText w:val="%1、"/>
      <w:lvlJc w:val="left"/>
      <w:pPr>
        <w:ind w:left="1621" w:hanging="690"/>
      </w:pPr>
      <w:rPr>
        <w:rFonts w:hint="default"/>
        <w:b w:val="0"/>
        <w:sz w:val="32"/>
      </w:rPr>
    </w:lvl>
    <w:lvl w:ilvl="1" w:tentative="0">
      <w:start w:val="1"/>
      <w:numFmt w:val="lowerLetter"/>
      <w:lvlText w:val="%2)"/>
      <w:lvlJc w:val="left"/>
      <w:pPr>
        <w:ind w:left="1771" w:hanging="420"/>
      </w:pPr>
    </w:lvl>
    <w:lvl w:ilvl="2" w:tentative="0">
      <w:start w:val="1"/>
      <w:numFmt w:val="lowerRoman"/>
      <w:lvlText w:val="%3."/>
      <w:lvlJc w:val="right"/>
      <w:pPr>
        <w:ind w:left="2191" w:hanging="420"/>
      </w:pPr>
    </w:lvl>
    <w:lvl w:ilvl="3" w:tentative="0">
      <w:start w:val="1"/>
      <w:numFmt w:val="decimal"/>
      <w:lvlText w:val="%4."/>
      <w:lvlJc w:val="left"/>
      <w:pPr>
        <w:ind w:left="2611" w:hanging="420"/>
      </w:pPr>
    </w:lvl>
    <w:lvl w:ilvl="4" w:tentative="0">
      <w:start w:val="1"/>
      <w:numFmt w:val="lowerLetter"/>
      <w:lvlText w:val="%5)"/>
      <w:lvlJc w:val="left"/>
      <w:pPr>
        <w:ind w:left="3031" w:hanging="420"/>
      </w:pPr>
    </w:lvl>
    <w:lvl w:ilvl="5" w:tentative="0">
      <w:start w:val="1"/>
      <w:numFmt w:val="lowerRoman"/>
      <w:lvlText w:val="%6."/>
      <w:lvlJc w:val="right"/>
      <w:pPr>
        <w:ind w:left="3451" w:hanging="420"/>
      </w:pPr>
    </w:lvl>
    <w:lvl w:ilvl="6" w:tentative="0">
      <w:start w:val="1"/>
      <w:numFmt w:val="decimal"/>
      <w:lvlText w:val="%7."/>
      <w:lvlJc w:val="left"/>
      <w:pPr>
        <w:ind w:left="3871" w:hanging="420"/>
      </w:pPr>
    </w:lvl>
    <w:lvl w:ilvl="7" w:tentative="0">
      <w:start w:val="1"/>
      <w:numFmt w:val="lowerLetter"/>
      <w:lvlText w:val="%8)"/>
      <w:lvlJc w:val="left"/>
      <w:pPr>
        <w:ind w:left="4291" w:hanging="420"/>
      </w:pPr>
    </w:lvl>
    <w:lvl w:ilvl="8" w:tentative="0">
      <w:start w:val="1"/>
      <w:numFmt w:val="lowerRoman"/>
      <w:lvlText w:val="%9."/>
      <w:lvlJc w:val="right"/>
      <w:pPr>
        <w:ind w:left="4711" w:hanging="420"/>
      </w:pPr>
    </w:lvl>
  </w:abstractNum>
  <w:abstractNum w:abstractNumId="1">
    <w:nsid w:val="3D4D73EB"/>
    <w:multiLevelType w:val="multilevel"/>
    <w:tmpl w:val="3D4D73EB"/>
    <w:lvl w:ilvl="0" w:tentative="0">
      <w:start w:val="1"/>
      <w:numFmt w:val="japaneseCounting"/>
      <w:lvlText w:val="第%1部"/>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0779CC"/>
    <w:multiLevelType w:val="singleLevel"/>
    <w:tmpl w:val="4F0779CC"/>
    <w:lvl w:ilvl="0" w:tentative="0">
      <w:start w:val="1"/>
      <w:numFmt w:val="chineseCounting"/>
      <w:lvlText w:val="%1、"/>
      <w:legacy w:legacy="1" w:legacySpace="0" w:legacyIndent="638"/>
      <w:lvlJc w:val="left"/>
      <w:rPr>
        <w:rFonts w:hint="eastAsia" w:ascii="MingLiU" w:hAnsi="MingLiU" w:eastAsia="MingLiU"/>
      </w:rPr>
    </w:lvl>
  </w:abstractNum>
  <w:abstractNum w:abstractNumId="3">
    <w:nsid w:val="70A83342"/>
    <w:multiLevelType w:val="singleLevel"/>
    <w:tmpl w:val="70A83342"/>
    <w:lvl w:ilvl="0" w:tentative="0">
      <w:start w:val="1"/>
      <w:numFmt w:val="chineseCounting"/>
      <w:lvlText w:val="%1、"/>
      <w:legacy w:legacy="1" w:legacySpace="0" w:legacyIndent="619"/>
      <w:lvlJc w:val="left"/>
      <w:rPr>
        <w:rFonts w:hint="eastAsia" w:ascii="MingLiU" w:hAnsi="MingLiU" w:eastAsia="MingLiU"/>
      </w:rPr>
    </w:lvl>
  </w:abstractNum>
  <w:num w:numId="1">
    <w:abstractNumId w:val="1"/>
  </w:num>
  <w:num w:numId="2">
    <w:abstractNumId w:val="3"/>
  </w:num>
  <w:num w:numId="3">
    <w:abstractNumId w:val="3"/>
    <w:lvlOverride w:ilvl="0">
      <w:lvl w:ilvl="0" w:tentative="1">
        <w:start w:val="1"/>
        <w:numFmt w:val="chineseCounting"/>
        <w:lvlText w:val="%1、"/>
        <w:legacy w:legacy="1" w:legacySpace="0" w:legacyIndent="619"/>
        <w:lvlJc w:val="left"/>
        <w:rPr>
          <w:rFonts w:hint="eastAsia" w:ascii="宋体" w:hAnsi="宋体" w:eastAsia="宋体"/>
        </w:rPr>
      </w:lvl>
    </w:lvlOverride>
  </w:num>
  <w:num w:numId="4">
    <w:abstractNumId w:val="2"/>
  </w:num>
  <w:num w:numId="5">
    <w:abstractNumId w:val="2"/>
    <w:lvlOverride w:ilvl="0">
      <w:lvl w:ilvl="0" w:tentative="1">
        <w:start w:val="1"/>
        <w:numFmt w:val="chineseCounting"/>
        <w:lvlText w:val="%1、"/>
        <w:legacy w:legacy="1" w:legacySpace="0" w:legacyIndent="638"/>
        <w:lvlJc w:val="left"/>
        <w:rPr>
          <w:rFonts w:hint="eastAsia" w:ascii="宋体" w:hAnsi="宋体" w:eastAsia="宋体"/>
        </w:r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0079"/>
    <w:rsid w:val="000635E3"/>
    <w:rsid w:val="00094301"/>
    <w:rsid w:val="0009785F"/>
    <w:rsid w:val="000A0E6F"/>
    <w:rsid w:val="00140B6F"/>
    <w:rsid w:val="00157269"/>
    <w:rsid w:val="0018777E"/>
    <w:rsid w:val="001B19D1"/>
    <w:rsid w:val="001C56AA"/>
    <w:rsid w:val="001C5F79"/>
    <w:rsid w:val="00210609"/>
    <w:rsid w:val="002207E1"/>
    <w:rsid w:val="00224A31"/>
    <w:rsid w:val="00263973"/>
    <w:rsid w:val="002F11F6"/>
    <w:rsid w:val="002F42F0"/>
    <w:rsid w:val="0034147F"/>
    <w:rsid w:val="003B5CF0"/>
    <w:rsid w:val="003B7C86"/>
    <w:rsid w:val="003B7EB0"/>
    <w:rsid w:val="003F5977"/>
    <w:rsid w:val="00402B85"/>
    <w:rsid w:val="004164CD"/>
    <w:rsid w:val="00450FE8"/>
    <w:rsid w:val="00466FF1"/>
    <w:rsid w:val="004712FA"/>
    <w:rsid w:val="004A5DEA"/>
    <w:rsid w:val="004F0BFD"/>
    <w:rsid w:val="00541152"/>
    <w:rsid w:val="00551211"/>
    <w:rsid w:val="00556DDC"/>
    <w:rsid w:val="0058060F"/>
    <w:rsid w:val="00592597"/>
    <w:rsid w:val="005A113B"/>
    <w:rsid w:val="005E2AAD"/>
    <w:rsid w:val="005E6E62"/>
    <w:rsid w:val="005F180B"/>
    <w:rsid w:val="00625CC1"/>
    <w:rsid w:val="00664040"/>
    <w:rsid w:val="00674EDC"/>
    <w:rsid w:val="006A75D5"/>
    <w:rsid w:val="007040D3"/>
    <w:rsid w:val="00714642"/>
    <w:rsid w:val="00777C79"/>
    <w:rsid w:val="0079516B"/>
    <w:rsid w:val="007B2848"/>
    <w:rsid w:val="007E2134"/>
    <w:rsid w:val="007E4EC9"/>
    <w:rsid w:val="007F3871"/>
    <w:rsid w:val="00801D07"/>
    <w:rsid w:val="00860079"/>
    <w:rsid w:val="00870548"/>
    <w:rsid w:val="008D2B25"/>
    <w:rsid w:val="00940720"/>
    <w:rsid w:val="00956FED"/>
    <w:rsid w:val="00973B46"/>
    <w:rsid w:val="009C3125"/>
    <w:rsid w:val="009C6DD1"/>
    <w:rsid w:val="00A06614"/>
    <w:rsid w:val="00A17C36"/>
    <w:rsid w:val="00B03327"/>
    <w:rsid w:val="00B813AC"/>
    <w:rsid w:val="00B815A0"/>
    <w:rsid w:val="00BA1FEB"/>
    <w:rsid w:val="00C620F6"/>
    <w:rsid w:val="00C93B05"/>
    <w:rsid w:val="00CA05EE"/>
    <w:rsid w:val="00CA3047"/>
    <w:rsid w:val="00CC217E"/>
    <w:rsid w:val="00CC2F72"/>
    <w:rsid w:val="00CD03E2"/>
    <w:rsid w:val="00CD35B8"/>
    <w:rsid w:val="00D06531"/>
    <w:rsid w:val="00DA4AC1"/>
    <w:rsid w:val="00DD4456"/>
    <w:rsid w:val="00E0195F"/>
    <w:rsid w:val="00E24C67"/>
    <w:rsid w:val="00E419B4"/>
    <w:rsid w:val="00E44B2B"/>
    <w:rsid w:val="00E77F50"/>
    <w:rsid w:val="00EA794C"/>
    <w:rsid w:val="00F33A46"/>
    <w:rsid w:val="00FC21A4"/>
    <w:rsid w:val="00FE76D8"/>
    <w:rsid w:val="00FF163F"/>
    <w:rsid w:val="5C0D5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6"/>
    <w:semiHidden/>
    <w:unhideWhenUsed/>
    <w:uiPriority w:val="99"/>
    <w:rPr>
      <w:sz w:val="18"/>
      <w:szCs w:val="18"/>
    </w:rPr>
  </w:style>
  <w:style w:type="paragraph" w:styleId="3">
    <w:name w:val="footer"/>
    <w:basedOn w:val="1"/>
    <w:link w:val="27"/>
    <w:unhideWhenUsed/>
    <w:uiPriority w:val="99"/>
    <w:pPr>
      <w:tabs>
        <w:tab w:val="center" w:pos="4153"/>
        <w:tab w:val="right" w:pos="8306"/>
      </w:tabs>
      <w:snapToGrid w:val="0"/>
      <w:jc w:val="left"/>
    </w:pPr>
    <w:rPr>
      <w:sz w:val="18"/>
      <w:szCs w:val="18"/>
    </w:rPr>
  </w:style>
  <w:style w:type="paragraph" w:styleId="4">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Font Style31"/>
    <w:basedOn w:val="6"/>
    <w:qFormat/>
    <w:uiPriority w:val="99"/>
    <w:rPr>
      <w:rFonts w:ascii="宋体" w:eastAsia="宋体" w:cs="宋体"/>
      <w:b/>
      <w:bCs/>
      <w:spacing w:val="20"/>
      <w:sz w:val="28"/>
      <w:szCs w:val="28"/>
    </w:rPr>
  </w:style>
  <w:style w:type="character" w:customStyle="1" w:styleId="8">
    <w:name w:val="Font Style48"/>
    <w:basedOn w:val="6"/>
    <w:uiPriority w:val="99"/>
    <w:rPr>
      <w:rFonts w:ascii="黑体" w:eastAsia="黑体" w:cs="黑体"/>
      <w:b/>
      <w:bCs/>
      <w:sz w:val="32"/>
      <w:szCs w:val="32"/>
    </w:rPr>
  </w:style>
  <w:style w:type="character" w:customStyle="1" w:styleId="9">
    <w:name w:val="Font Style30"/>
    <w:basedOn w:val="6"/>
    <w:uiPriority w:val="99"/>
    <w:rPr>
      <w:rFonts w:ascii="宋体" w:eastAsia="宋体" w:cs="宋体"/>
      <w:b/>
      <w:bCs/>
      <w:sz w:val="32"/>
      <w:szCs w:val="32"/>
    </w:rPr>
  </w:style>
  <w:style w:type="paragraph" w:customStyle="1" w:styleId="10">
    <w:name w:val="Style4"/>
    <w:basedOn w:val="1"/>
    <w:uiPriority w:val="99"/>
    <w:pPr>
      <w:adjustRightInd w:val="0"/>
      <w:jc w:val="left"/>
    </w:pPr>
    <w:rPr>
      <w:rFonts w:ascii="黑体" w:eastAsia="黑体"/>
      <w:kern w:val="0"/>
      <w:sz w:val="24"/>
      <w:szCs w:val="24"/>
    </w:rPr>
  </w:style>
  <w:style w:type="character" w:customStyle="1" w:styleId="11">
    <w:name w:val="Font Style51"/>
    <w:basedOn w:val="6"/>
    <w:uiPriority w:val="99"/>
    <w:rPr>
      <w:rFonts w:ascii="MingLiU" w:eastAsia="MingLiU" w:cs="MingLiU"/>
      <w:b/>
      <w:bCs/>
      <w:spacing w:val="-30"/>
      <w:w w:val="70"/>
      <w:sz w:val="34"/>
      <w:szCs w:val="34"/>
    </w:rPr>
  </w:style>
  <w:style w:type="paragraph" w:customStyle="1" w:styleId="12">
    <w:name w:val="Style5"/>
    <w:basedOn w:val="1"/>
    <w:uiPriority w:val="99"/>
    <w:pPr>
      <w:adjustRightInd w:val="0"/>
      <w:jc w:val="left"/>
    </w:pPr>
    <w:rPr>
      <w:rFonts w:ascii="黑体" w:eastAsia="黑体"/>
      <w:kern w:val="0"/>
      <w:sz w:val="24"/>
      <w:szCs w:val="24"/>
    </w:rPr>
  </w:style>
  <w:style w:type="character" w:customStyle="1" w:styleId="13">
    <w:name w:val="Font Style33"/>
    <w:basedOn w:val="6"/>
    <w:uiPriority w:val="99"/>
    <w:rPr>
      <w:rFonts w:ascii="宋体" w:eastAsia="宋体" w:cs="宋体"/>
      <w:b/>
      <w:bCs/>
      <w:sz w:val="18"/>
      <w:szCs w:val="18"/>
    </w:rPr>
  </w:style>
  <w:style w:type="character" w:customStyle="1" w:styleId="14">
    <w:name w:val="Font Style49"/>
    <w:basedOn w:val="6"/>
    <w:uiPriority w:val="99"/>
    <w:rPr>
      <w:rFonts w:ascii="宋体" w:eastAsia="宋体" w:cs="宋体"/>
      <w:b/>
      <w:bCs/>
      <w:spacing w:val="30"/>
      <w:sz w:val="26"/>
      <w:szCs w:val="26"/>
    </w:rPr>
  </w:style>
  <w:style w:type="paragraph" w:customStyle="1" w:styleId="15">
    <w:name w:val="Style6"/>
    <w:basedOn w:val="1"/>
    <w:uiPriority w:val="99"/>
    <w:pPr>
      <w:adjustRightInd w:val="0"/>
      <w:spacing w:line="1262" w:lineRule="exact"/>
      <w:ind w:firstLine="931"/>
      <w:jc w:val="left"/>
    </w:pPr>
    <w:rPr>
      <w:rFonts w:ascii="黑体" w:eastAsia="黑体"/>
      <w:kern w:val="0"/>
      <w:sz w:val="24"/>
      <w:szCs w:val="24"/>
    </w:rPr>
  </w:style>
  <w:style w:type="paragraph" w:customStyle="1" w:styleId="16">
    <w:name w:val="Style7"/>
    <w:basedOn w:val="1"/>
    <w:uiPriority w:val="99"/>
    <w:pPr>
      <w:adjustRightInd w:val="0"/>
      <w:spacing w:line="624" w:lineRule="exact"/>
      <w:ind w:firstLine="778"/>
      <w:jc w:val="left"/>
    </w:pPr>
    <w:rPr>
      <w:rFonts w:ascii="黑体" w:eastAsia="黑体"/>
      <w:kern w:val="0"/>
      <w:sz w:val="24"/>
      <w:szCs w:val="24"/>
    </w:rPr>
  </w:style>
  <w:style w:type="paragraph" w:customStyle="1" w:styleId="17">
    <w:name w:val="Style8"/>
    <w:basedOn w:val="1"/>
    <w:uiPriority w:val="99"/>
    <w:pPr>
      <w:adjustRightInd w:val="0"/>
      <w:spacing w:line="624" w:lineRule="exact"/>
      <w:ind w:firstLine="778"/>
    </w:pPr>
    <w:rPr>
      <w:rFonts w:ascii="黑体" w:eastAsia="黑体"/>
      <w:kern w:val="0"/>
      <w:sz w:val="24"/>
      <w:szCs w:val="24"/>
    </w:rPr>
  </w:style>
  <w:style w:type="character" w:customStyle="1" w:styleId="18">
    <w:name w:val="Font Style46"/>
    <w:basedOn w:val="6"/>
    <w:uiPriority w:val="99"/>
    <w:rPr>
      <w:rFonts w:ascii="宋体" w:eastAsia="宋体" w:cs="宋体"/>
      <w:spacing w:val="-10"/>
      <w:sz w:val="32"/>
      <w:szCs w:val="32"/>
    </w:rPr>
  </w:style>
  <w:style w:type="paragraph" w:customStyle="1" w:styleId="19">
    <w:name w:val="Style9"/>
    <w:basedOn w:val="1"/>
    <w:uiPriority w:val="99"/>
    <w:pPr>
      <w:adjustRightInd w:val="0"/>
      <w:spacing w:line="624" w:lineRule="exact"/>
    </w:pPr>
    <w:rPr>
      <w:rFonts w:ascii="黑体" w:eastAsia="黑体"/>
      <w:kern w:val="0"/>
      <w:sz w:val="24"/>
      <w:szCs w:val="24"/>
    </w:rPr>
  </w:style>
  <w:style w:type="character" w:customStyle="1" w:styleId="20">
    <w:name w:val="Font Style50"/>
    <w:basedOn w:val="6"/>
    <w:uiPriority w:val="99"/>
    <w:rPr>
      <w:rFonts w:ascii="宋体" w:eastAsia="宋体" w:cs="宋体"/>
      <w:b/>
      <w:bCs/>
      <w:spacing w:val="30"/>
      <w:sz w:val="26"/>
      <w:szCs w:val="26"/>
    </w:rPr>
  </w:style>
  <w:style w:type="paragraph" w:customStyle="1" w:styleId="21">
    <w:name w:val="Style12"/>
    <w:basedOn w:val="1"/>
    <w:uiPriority w:val="99"/>
    <w:pPr>
      <w:adjustRightInd w:val="0"/>
      <w:spacing w:line="624" w:lineRule="exact"/>
      <w:ind w:firstLine="634"/>
    </w:pPr>
    <w:rPr>
      <w:rFonts w:ascii="黑体" w:eastAsia="黑体"/>
      <w:kern w:val="0"/>
      <w:sz w:val="24"/>
      <w:szCs w:val="24"/>
    </w:rPr>
  </w:style>
  <w:style w:type="paragraph" w:customStyle="1" w:styleId="22">
    <w:name w:val="Style14"/>
    <w:basedOn w:val="1"/>
    <w:uiPriority w:val="99"/>
    <w:pPr>
      <w:adjustRightInd w:val="0"/>
      <w:spacing w:line="634" w:lineRule="exact"/>
      <w:ind w:firstLine="643"/>
      <w:jc w:val="left"/>
    </w:pPr>
    <w:rPr>
      <w:rFonts w:ascii="黑体" w:eastAsia="黑体"/>
      <w:kern w:val="0"/>
      <w:sz w:val="24"/>
      <w:szCs w:val="24"/>
    </w:rPr>
  </w:style>
  <w:style w:type="character" w:customStyle="1" w:styleId="23">
    <w:name w:val="Font Style32"/>
    <w:basedOn w:val="6"/>
    <w:uiPriority w:val="99"/>
    <w:rPr>
      <w:rFonts w:ascii="MingLiU" w:eastAsia="MingLiU" w:cs="MingLiU"/>
      <w:b/>
      <w:bCs/>
      <w:i/>
      <w:iCs/>
      <w:spacing w:val="10"/>
      <w:sz w:val="22"/>
      <w:szCs w:val="22"/>
    </w:rPr>
  </w:style>
  <w:style w:type="paragraph" w:customStyle="1" w:styleId="24">
    <w:name w:val="Style16"/>
    <w:basedOn w:val="1"/>
    <w:uiPriority w:val="99"/>
    <w:pPr>
      <w:adjustRightInd w:val="0"/>
      <w:jc w:val="left"/>
    </w:pPr>
    <w:rPr>
      <w:rFonts w:ascii="黑体" w:eastAsia="黑体"/>
      <w:kern w:val="0"/>
      <w:sz w:val="24"/>
      <w:szCs w:val="24"/>
    </w:rPr>
  </w:style>
  <w:style w:type="character" w:customStyle="1" w:styleId="25">
    <w:name w:val="Font Style38"/>
    <w:basedOn w:val="6"/>
    <w:uiPriority w:val="99"/>
    <w:rPr>
      <w:rFonts w:ascii="宋体" w:eastAsia="宋体" w:cs="宋体"/>
      <w:b/>
      <w:bCs/>
      <w:sz w:val="30"/>
      <w:szCs w:val="30"/>
    </w:rPr>
  </w:style>
  <w:style w:type="character" w:customStyle="1" w:styleId="26">
    <w:name w:val="页眉 Char"/>
    <w:basedOn w:val="6"/>
    <w:link w:val="4"/>
    <w:uiPriority w:val="99"/>
    <w:rPr>
      <w:sz w:val="18"/>
      <w:szCs w:val="18"/>
    </w:rPr>
  </w:style>
  <w:style w:type="character" w:customStyle="1" w:styleId="27">
    <w:name w:val="页脚 Char"/>
    <w:basedOn w:val="6"/>
    <w:link w:val="3"/>
    <w:uiPriority w:val="99"/>
    <w:rPr>
      <w:sz w:val="18"/>
      <w:szCs w:val="18"/>
    </w:rPr>
  </w:style>
  <w:style w:type="character" w:customStyle="1" w:styleId="28">
    <w:name w:val="Font Style52"/>
    <w:basedOn w:val="6"/>
    <w:uiPriority w:val="99"/>
    <w:rPr>
      <w:rFonts w:ascii="宋体" w:eastAsia="宋体" w:cs="宋体"/>
      <w:b/>
      <w:bCs/>
      <w:sz w:val="30"/>
      <w:szCs w:val="30"/>
    </w:rPr>
  </w:style>
  <w:style w:type="paragraph" w:customStyle="1" w:styleId="29">
    <w:name w:val="Style15"/>
    <w:basedOn w:val="1"/>
    <w:uiPriority w:val="99"/>
    <w:pPr>
      <w:adjustRightInd w:val="0"/>
      <w:jc w:val="left"/>
    </w:pPr>
    <w:rPr>
      <w:rFonts w:ascii="黑体" w:eastAsia="黑体"/>
      <w:kern w:val="0"/>
      <w:sz w:val="24"/>
      <w:szCs w:val="24"/>
    </w:rPr>
  </w:style>
  <w:style w:type="character" w:customStyle="1" w:styleId="30">
    <w:name w:val="Font Style35"/>
    <w:basedOn w:val="6"/>
    <w:uiPriority w:val="99"/>
    <w:rPr>
      <w:rFonts w:ascii="宋体" w:eastAsia="宋体" w:cs="宋体"/>
      <w:b/>
      <w:bCs/>
      <w:i/>
      <w:iCs/>
      <w:spacing w:val="90"/>
      <w:sz w:val="30"/>
      <w:szCs w:val="30"/>
    </w:rPr>
  </w:style>
  <w:style w:type="paragraph" w:customStyle="1" w:styleId="31">
    <w:name w:val="Style2"/>
    <w:basedOn w:val="1"/>
    <w:uiPriority w:val="99"/>
    <w:pPr>
      <w:adjustRightInd w:val="0"/>
      <w:jc w:val="left"/>
    </w:pPr>
    <w:rPr>
      <w:rFonts w:ascii="黑体" w:eastAsia="黑体"/>
      <w:kern w:val="0"/>
      <w:sz w:val="24"/>
      <w:szCs w:val="24"/>
    </w:rPr>
  </w:style>
  <w:style w:type="paragraph" w:customStyle="1" w:styleId="32">
    <w:name w:val="Style10"/>
    <w:basedOn w:val="1"/>
    <w:uiPriority w:val="99"/>
    <w:pPr>
      <w:adjustRightInd w:val="0"/>
      <w:spacing w:line="504" w:lineRule="exact"/>
      <w:ind w:hanging="662"/>
      <w:jc w:val="left"/>
    </w:pPr>
    <w:rPr>
      <w:rFonts w:ascii="黑体" w:eastAsia="黑体"/>
      <w:kern w:val="0"/>
      <w:sz w:val="24"/>
      <w:szCs w:val="24"/>
    </w:rPr>
  </w:style>
  <w:style w:type="paragraph" w:customStyle="1" w:styleId="33">
    <w:name w:val="Style13"/>
    <w:basedOn w:val="1"/>
    <w:uiPriority w:val="99"/>
    <w:pPr>
      <w:adjustRightInd w:val="0"/>
      <w:spacing w:line="624" w:lineRule="exact"/>
      <w:ind w:firstLine="134"/>
      <w:jc w:val="left"/>
    </w:pPr>
    <w:rPr>
      <w:rFonts w:ascii="黑体" w:eastAsia="黑体"/>
      <w:kern w:val="0"/>
      <w:sz w:val="24"/>
      <w:szCs w:val="24"/>
    </w:rPr>
  </w:style>
  <w:style w:type="paragraph" w:customStyle="1" w:styleId="34">
    <w:name w:val="Style1"/>
    <w:basedOn w:val="1"/>
    <w:uiPriority w:val="99"/>
    <w:pPr>
      <w:adjustRightInd w:val="0"/>
    </w:pPr>
    <w:rPr>
      <w:rFonts w:ascii="黑体" w:eastAsia="黑体"/>
      <w:kern w:val="0"/>
      <w:sz w:val="24"/>
      <w:szCs w:val="24"/>
    </w:rPr>
  </w:style>
  <w:style w:type="paragraph" w:styleId="35">
    <w:name w:val="List Paragraph"/>
    <w:basedOn w:val="1"/>
    <w:qFormat/>
    <w:uiPriority w:val="34"/>
    <w:pPr>
      <w:ind w:firstLine="420" w:firstLineChars="200"/>
    </w:pPr>
  </w:style>
  <w:style w:type="character" w:customStyle="1" w:styleId="36">
    <w:name w:val="批注框文本 Char"/>
    <w:basedOn w:val="6"/>
    <w:link w:val="2"/>
    <w:semiHidden/>
    <w:uiPriority w:val="99"/>
    <w:rPr>
      <w:sz w:val="18"/>
      <w:szCs w:val="18"/>
    </w:rPr>
  </w:style>
  <w:style w:type="paragraph" w:styleId="37">
    <w:name w:val="No Spacing"/>
    <w:link w:val="38"/>
    <w:qFormat/>
    <w:uiPriority w:val="1"/>
    <w:rPr>
      <w:rFonts w:asciiTheme="minorHAnsi" w:hAnsiTheme="minorHAnsi" w:eastAsiaTheme="minorEastAsia" w:cstheme="minorBidi"/>
      <w:kern w:val="0"/>
      <w:sz w:val="22"/>
      <w:szCs w:val="22"/>
      <w:lang w:val="en-US" w:eastAsia="zh-CN" w:bidi="ar-SA"/>
    </w:rPr>
  </w:style>
  <w:style w:type="character" w:customStyle="1" w:styleId="38">
    <w:name w:val="无间隔 Char"/>
    <w:basedOn w:val="6"/>
    <w:link w:val="37"/>
    <w:uiPriority w:val="1"/>
    <w:rPr>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3750A-64DA-4572-8DDD-B590F68028D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1042</Words>
  <Characters>5941</Characters>
  <Lines>49</Lines>
  <Paragraphs>13</Paragraphs>
  <TotalTime>14</TotalTime>
  <ScaleCrop>false</ScaleCrop>
  <LinksUpToDate>false</LinksUpToDate>
  <CharactersWithSpaces>6970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2018-03-13T08:08:00Z</dcterms:created>
  <dc:creator>yy</dc:creator>
  <cp:lastModifiedBy>Administrator</cp:lastModifiedBy>
  <dcterms:modified xsi:type="dcterms:W3CDTF">2022-03-03T02:18:43Z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3912B7DA76AF47C1BE31BEDB1140BFFA</vt:lpwstr>
  </property>
</Properties>
</file>