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0" w:name="_GoBack"/>
      <w:bookmarkEnd w:id="0"/>
    </w:p>
    <w:p>
      <w:pPr>
        <w:jc w:val="center"/>
        <w:rPr>
          <w:rFonts w:ascii="方正小标宋简体" w:hAnsi="方正小标宋简体" w:eastAsia="方正小标宋简体" w:cs="方正小标宋简体"/>
          <w:sz w:val="84"/>
          <w:szCs w:val="84"/>
        </w:rPr>
      </w:pPr>
    </w:p>
    <w:p>
      <w:pPr>
        <w:jc w:val="center"/>
        <w:rPr>
          <w:rFonts w:ascii="黑体" w:eastAsia="黑体" w:cs="方正小标宋简体" w:hAnsiTheme="minorEastAsia"/>
          <w:sz w:val="44"/>
          <w:szCs w:val="44"/>
        </w:rPr>
      </w:pPr>
      <w:r>
        <w:rPr>
          <w:rFonts w:hint="eastAsia" w:ascii="黑体" w:eastAsia="黑体" w:cs="方正小标宋简体" w:hAnsiTheme="minorEastAsia"/>
          <w:sz w:val="44"/>
          <w:szCs w:val="44"/>
        </w:rPr>
        <w:t>2018年大埔县财政局部门预算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第一部分  大埔县财政局概况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2018年部门预算表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2018年部门预算情况说明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部门概况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贯彻落实国家关于财政、财务、会计管理方面的法律、法规、规章和政策，起草本县相关地方性法规草案、政府规章草案并组织实施；编制并组织实施中长期财政计划；参与制定重大经济决策和政策，研究提出运用财税政策对经济运行实施调控和综合平衡本县财力的建议；拟订并执行市与本县、国家与企业的分配政策；完善鼓励公益事业发展的财税政策。</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管理外国政府和国际金融组织对本县的贷款业务；对本县金融机构实施财务监管；贯彻执行政府国内债务管理的制度和政策；制定政府性债务管理办法，拟订政府防范债务风险的措施。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承担本县各项财政收支管理的责任，编制年度预决算草案并组织执行;受市政府委托，向县人民代表大会报告预算及其执行情况，向县人大常委会报告决算；组织制定经费开支标准、定额,负责审批部门和单位的年度预决算；完善转移支付制度。</w:t>
      </w:r>
    </w:p>
    <w:p>
      <w:pPr>
        <w:ind w:firstLine="640"/>
        <w:rPr>
          <w:rFonts w:ascii="宋体" w:hAnsi="宋体" w:cs="Arial"/>
          <w:color w:val="333333"/>
          <w:kern w:val="0"/>
          <w:sz w:val="28"/>
          <w:szCs w:val="28"/>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负责本县政府非税收入管理；负责政府性基金管理，按规定管理行政事业性收费；管理财政票据；制定彩票管理有关办法，负责彩票资金管理和彩票市场监管的有关工作。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组织制定本县国库管理制度、国库集中收付制度，指导和监督本县国库业务，负责国库现金管理的有关工作。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拟订本县政府采购政策并监督管理；负责党政机关、财政拨款事业单位汽车定编工作。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负责组织起草本县有关税收地方性法规草案、政府规章草案及实施办法和税收政策调整方案；提出关税和进口环节税收政策的建议；参与制定关税政策的相关研究工作。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负责制定本县行政事业单位国有资产管理制度和办法，按照规定管理行政事业单位国有资产，制定需要全县统一规定的开支标准和支出政策；负责财政预算内行政机构、事业单位和社会团体的非贸易外汇的管理。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依法负责本县国有资本经营预算相关工作，收取县本级企业国有资本收益，制定并组织实施企业财务制度，参与拟订企业国有资产管理相关制度，按规定负责资产评估的有关管理工作。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负责承办和监督本县财政的经济发展支出、政府性投资项目的财政拨款，参与拟订建设投资的有关政策，制定基本建设财务制度，负责有关政策性补贴和专项储备资金财政管理工作；负责农业综合开发管理工作；承担财政投资评审管理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会同有关部门管理本县财政社会保障和就业及医疗卫生支出，贯彻执行社会保障资金的财务管理制度，编制本县社会保障预决算草案，组织实施对社会保障资金使用的财政监督。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ascii="仿宋_GB2312" w:hAnsi="仿宋_GB2312" w:eastAsia="仿宋_GB2312" w:cs="仿宋_GB2312"/>
          <w:sz w:val="32"/>
          <w:szCs w:val="32"/>
        </w:rPr>
        <w:t>负责管理本县会计工作，监督和规范会计行为，执行国家统一的会计制度；指导和监督注册会计师和会计师事务所的业务；指导和管理社会审计。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ascii="仿宋_GB2312" w:hAnsi="仿宋_GB2312" w:eastAsia="仿宋_GB2312" w:cs="仿宋_GB2312"/>
          <w:sz w:val="32"/>
          <w:szCs w:val="32"/>
        </w:rPr>
        <w:t>研究建立本县财政支出绩效评价制度和评价体系；监督检查财税法律法规、政策的执行情况；反映财政收支管理中的重大问题；研究提出加强财政管理的政策性建议。</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（十四）</w:t>
      </w:r>
      <w:r>
        <w:rPr>
          <w:rFonts w:ascii="仿宋_GB2312" w:hAnsi="仿宋_GB2312" w:eastAsia="仿宋_GB2312" w:cs="仿宋_GB2312"/>
          <w:sz w:val="32"/>
          <w:szCs w:val="32"/>
        </w:rPr>
        <w:t>承办梅州市和大埔县政府交办的其他事项</w:t>
      </w:r>
    </w:p>
    <w:p>
      <w:pPr>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t xml:space="preserve">    二、机构设置</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本部门无下属单位，部门预算为局本级预算。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本部门内设机构、人员构成情况：本机关共有行政编制在职人员 46 人，事业编制在职人员89人。年末实有人数 110人，其中在职行政人员 41 人、事业人员 69人；退休人员 45 人。</w:t>
      </w:r>
    </w:p>
    <w:p>
      <w:pPr>
        <w:numPr>
          <w:ilvl w:val="0"/>
          <w:numId w:val="4"/>
        </w:numPr>
        <w:ind w:firstLine="640"/>
        <w:jc w:val="cente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2018年部门预算表</w:t>
      </w:r>
    </w:p>
    <w:p>
      <w:pPr>
        <w:shd w:val="clear" w:color="auto" w:fill="FFFFFF" w:themeFill="background1"/>
        <w:ind w:firstLine="640" w:firstLineChars="200"/>
        <w:jc w:val="left"/>
        <w:rPr>
          <w:rFonts w:ascii="楷体_GB2312" w:hAnsi="楷体_GB2312" w:eastAsia="楷体_GB2312" w:cs="楷体_GB2312"/>
          <w:sz w:val="32"/>
          <w:szCs w:val="32"/>
          <w:highlight w:val="lightGray"/>
        </w:rPr>
      </w:pPr>
      <w:r>
        <w:rPr>
          <w:rFonts w:hint="eastAsia" w:ascii="仿宋_GB2312" w:hAnsi="仿宋_GB2312" w:eastAsia="仿宋_GB2312" w:cs="仿宋_GB2312"/>
          <w:sz w:val="32"/>
          <w:szCs w:val="32"/>
          <w:highlight w:val="lightGray"/>
        </w:rPr>
        <w:t>（</w:t>
      </w:r>
      <w:r>
        <w:rPr>
          <w:rFonts w:hint="eastAsia" w:ascii="楷体_GB2312" w:hAnsi="楷体_GB2312" w:eastAsia="楷体_GB2312" w:cs="楷体_GB2312"/>
          <w:b/>
          <w:bCs/>
          <w:sz w:val="32"/>
          <w:szCs w:val="32"/>
          <w:highlight w:val="lightGray"/>
        </w:rPr>
        <w:t>说明</w:t>
      </w:r>
      <w:r>
        <w:rPr>
          <w:rFonts w:hint="eastAsia" w:ascii="楷体_GB2312" w:hAnsi="楷体_GB2312" w:eastAsia="楷体_GB2312" w:cs="楷体_GB2312"/>
          <w:sz w:val="32"/>
          <w:szCs w:val="32"/>
          <w:highlight w:val="lightGray"/>
        </w:rPr>
        <w:t>：以下为表样，具体按本级财政部门批复各部门的表格公开。财预</w:t>
      </w:r>
      <w:r>
        <w:rPr>
          <w:rFonts w:hint="eastAsia" w:ascii="仿宋_GB2312" w:hAnsi="仿宋_GB2312" w:eastAsia="仿宋_GB2312" w:cs="仿宋_GB2312"/>
          <w:sz w:val="32"/>
          <w:szCs w:val="32"/>
          <w:highlight w:val="lightGray"/>
        </w:rPr>
        <w:t>〔2016〕143号文要求至少应公开的8张表必须编制并公开，绩效目标必须有所体现并公开。</w:t>
      </w:r>
      <w:r>
        <w:rPr>
          <w:rFonts w:hint="eastAsia" w:ascii="楷体_GB2312" w:hAnsi="楷体_GB2312" w:eastAsia="楷体_GB2312" w:cs="楷体_GB2312"/>
          <w:sz w:val="32"/>
          <w:szCs w:val="32"/>
          <w:highlight w:val="lightGray"/>
        </w:rPr>
        <w:t>必须公开表中如有表格无数据，也应以空表公开，并备注说明，如表9</w:t>
      </w:r>
      <w:r>
        <w:rPr>
          <w:rFonts w:hint="eastAsia" w:ascii="仿宋_GB2312" w:hAnsi="仿宋_GB2312" w:eastAsia="仿宋_GB2312" w:cs="仿宋_GB2312"/>
          <w:sz w:val="32"/>
          <w:szCs w:val="32"/>
          <w:highlight w:val="lightGray"/>
        </w:rPr>
        <w:t>）</w:t>
      </w:r>
    </w:p>
    <w:p>
      <w:pPr>
        <w:rPr>
          <w:rFonts w:ascii="楷体_GB2312" w:hAnsi="楷体_GB2312" w:eastAsia="楷体_GB2312" w:cs="楷体_GB2312"/>
          <w:sz w:val="32"/>
          <w:szCs w:val="32"/>
        </w:rPr>
      </w:pPr>
    </w:p>
    <w:tbl>
      <w:tblPr>
        <w:tblStyle w:val="5"/>
        <w:tblW w:w="8262" w:type="dxa"/>
        <w:tblInd w:w="93" w:type="dxa"/>
        <w:tblLayout w:type="autofit"/>
        <w:tblCellMar>
          <w:top w:w="0" w:type="dxa"/>
          <w:left w:w="108" w:type="dxa"/>
          <w:bottom w:w="0" w:type="dxa"/>
          <w:right w:w="108" w:type="dxa"/>
        </w:tblCellMar>
      </w:tblPr>
      <w:tblGrid>
        <w:gridCol w:w="2997"/>
        <w:gridCol w:w="1347"/>
        <w:gridCol w:w="2571"/>
        <w:gridCol w:w="1347"/>
      </w:tblGrid>
      <w:tr>
        <w:tblPrEx>
          <w:tblCellMar>
            <w:top w:w="0" w:type="dxa"/>
            <w:left w:w="108" w:type="dxa"/>
            <w:bottom w:w="0" w:type="dxa"/>
            <w:right w:w="108" w:type="dxa"/>
          </w:tblCellMar>
        </w:tblPrEx>
        <w:trPr>
          <w:trHeight w:val="422"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CellMar>
            <w:top w:w="0" w:type="dxa"/>
            <w:left w:w="108" w:type="dxa"/>
            <w:bottom w:w="0" w:type="dxa"/>
            <w:right w:w="108" w:type="dxa"/>
          </w:tblCellMar>
        </w:tblPrEx>
        <w:trPr>
          <w:trHeight w:val="523"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2"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2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bl>
    <w:p>
      <w:pPr>
        <w:jc w:val="center"/>
        <w:rPr>
          <w:rFonts w:ascii="方正小标宋简体" w:hAnsi="方正小标宋简体" w:eastAsia="方正小标宋简体" w:cs="方正小标宋简体"/>
          <w:sz w:val="44"/>
          <w:szCs w:val="44"/>
        </w:rPr>
      </w:pPr>
    </w:p>
    <w:p/>
    <w:p/>
    <w:p/>
    <w:p/>
    <w:p/>
    <w:tbl>
      <w:tblPr>
        <w:tblStyle w:val="5"/>
        <w:tblW w:w="8604" w:type="dxa"/>
        <w:tblInd w:w="0" w:type="dxa"/>
        <w:tblLayout w:type="autofit"/>
        <w:tblCellMar>
          <w:top w:w="0" w:type="dxa"/>
          <w:left w:w="108" w:type="dxa"/>
          <w:bottom w:w="0" w:type="dxa"/>
          <w:right w:w="108" w:type="dxa"/>
        </w:tblCellMar>
      </w:tblPr>
      <w:tblGrid>
        <w:gridCol w:w="4264"/>
        <w:gridCol w:w="2170"/>
        <w:gridCol w:w="2170"/>
      </w:tblGrid>
      <w:tr>
        <w:tblPrEx>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bl>
    <w:p/>
    <w:p>
      <w:pPr>
        <w:sectPr>
          <w:pgSz w:w="11906" w:h="16838"/>
          <w:pgMar w:top="1440" w:right="1800" w:bottom="1440" w:left="1800" w:header="851" w:footer="992" w:gutter="0"/>
          <w:cols w:space="425" w:num="1"/>
          <w:docGrid w:type="lines" w:linePitch="312" w:charSpace="0"/>
        </w:sectPr>
      </w:pPr>
    </w:p>
    <w:tbl>
      <w:tblPr>
        <w:tblStyle w:val="5"/>
        <w:tblW w:w="8664" w:type="dxa"/>
        <w:tblInd w:w="93" w:type="dxa"/>
        <w:tblLayout w:type="autofit"/>
        <w:tblCellMar>
          <w:top w:w="0" w:type="dxa"/>
          <w:left w:w="108" w:type="dxa"/>
          <w:bottom w:w="0" w:type="dxa"/>
          <w:right w:w="108" w:type="dxa"/>
        </w:tblCellMar>
      </w:tblPr>
      <w:tblGrid>
        <w:gridCol w:w="4294"/>
        <w:gridCol w:w="2185"/>
        <w:gridCol w:w="2185"/>
      </w:tblGrid>
      <w:tr>
        <w:tblPrEx>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941.08</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1313.48</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300.75</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bl>
    <w:p>
      <w:pPr>
        <w:sectPr>
          <w:pgSz w:w="11906" w:h="16838"/>
          <w:pgMar w:top="1440" w:right="1800" w:bottom="1440" w:left="1800" w:header="851" w:footer="992" w:gutter="0"/>
          <w:cols w:space="425" w:num="1"/>
          <w:docGrid w:type="lines" w:linePitch="312" w:charSpace="0"/>
        </w:sectPr>
      </w:pPr>
    </w:p>
    <w:tbl>
      <w:tblPr>
        <w:tblStyle w:val="5"/>
        <w:tblW w:w="8455" w:type="dxa"/>
        <w:tblInd w:w="93" w:type="dxa"/>
        <w:tblLayout w:type="autofit"/>
        <w:tblCellMar>
          <w:top w:w="0" w:type="dxa"/>
          <w:left w:w="108" w:type="dxa"/>
          <w:bottom w:w="0" w:type="dxa"/>
          <w:right w:w="108" w:type="dxa"/>
        </w:tblCellMar>
      </w:tblPr>
      <w:tblGrid>
        <w:gridCol w:w="2690"/>
        <w:gridCol w:w="1537"/>
        <w:gridCol w:w="2690"/>
        <w:gridCol w:w="1538"/>
      </w:tblGrid>
      <w:tr>
        <w:tblPrEx>
          <w:tblCellMar>
            <w:top w:w="0" w:type="dxa"/>
            <w:left w:w="108" w:type="dxa"/>
            <w:bottom w:w="0" w:type="dxa"/>
            <w:right w:w="108" w:type="dxa"/>
          </w:tblCellMar>
        </w:tblPrEx>
        <w:trPr>
          <w:trHeight w:val="415"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CellMar>
            <w:top w:w="0" w:type="dxa"/>
            <w:left w:w="108" w:type="dxa"/>
            <w:bottom w:w="0" w:type="dxa"/>
            <w:right w:w="108" w:type="dxa"/>
          </w:tblCellMar>
        </w:tblPrEx>
        <w:trPr>
          <w:trHeight w:val="514"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CellMar>
            <w:top w:w="0" w:type="dxa"/>
            <w:left w:w="108" w:type="dxa"/>
            <w:bottom w:w="0" w:type="dxa"/>
            <w:right w:w="108" w:type="dxa"/>
          </w:tblCellMar>
        </w:tblPrEx>
        <w:trPr>
          <w:trHeight w:val="415"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15"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2555.31</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2555.31</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5"/>
        <w:tblW w:w="0" w:type="auto"/>
        <w:tblInd w:w="93" w:type="dxa"/>
        <w:tblLayout w:type="autofit"/>
        <w:tblCellMar>
          <w:top w:w="0" w:type="dxa"/>
          <w:left w:w="108" w:type="dxa"/>
          <w:bottom w:w="0" w:type="dxa"/>
          <w:right w:w="108" w:type="dxa"/>
        </w:tblCellMar>
      </w:tblPr>
      <w:tblGrid>
        <w:gridCol w:w="4769"/>
        <w:gridCol w:w="916"/>
        <w:gridCol w:w="1528"/>
        <w:gridCol w:w="1216"/>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CellMar>
            <w:top w:w="0" w:type="dxa"/>
            <w:left w:w="108" w:type="dxa"/>
            <w:bottom w:w="0" w:type="dxa"/>
            <w:right w:w="108" w:type="dxa"/>
          </w:tblCellMar>
        </w:tblPrEx>
        <w:trPr>
          <w:trHeight w:val="499" w:hRule="atLeast"/>
        </w:trPr>
        <w:tc>
          <w:tcPr>
            <w:tcW w:w="0" w:type="auto"/>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CellMar>
            <w:top w:w="0" w:type="dxa"/>
            <w:left w:w="108" w:type="dxa"/>
            <w:bottom w:w="0" w:type="dxa"/>
            <w:right w:w="108" w:type="dxa"/>
          </w:tblCellMar>
        </w:tblPrEx>
        <w:trPr>
          <w:trHeight w:val="402"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0" w:type="auto"/>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2555.31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2555.31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2342.01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2342.01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[20106]财政事务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2342.01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2342.01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[2010601]行政运行</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2342.01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2342.01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213.30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213.30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213.30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213.30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213.30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213.30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rPr>
          <w:rFonts w:hint="eastAsia"/>
        </w:rPr>
      </w:pPr>
    </w:p>
    <w:p>
      <w:pPr>
        <w:rPr>
          <w:rFonts w:hint="eastAsia"/>
        </w:rPr>
      </w:pPr>
    </w:p>
    <w:p/>
    <w:tbl>
      <w:tblPr>
        <w:tblStyle w:val="5"/>
        <w:tblW w:w="8278" w:type="dxa"/>
        <w:tblInd w:w="93" w:type="dxa"/>
        <w:tblLayout w:type="autofit"/>
        <w:tblCellMar>
          <w:top w:w="0" w:type="dxa"/>
          <w:left w:w="108" w:type="dxa"/>
          <w:bottom w:w="0" w:type="dxa"/>
          <w:right w:w="108" w:type="dxa"/>
        </w:tblCellMar>
      </w:tblPr>
      <w:tblGrid>
        <w:gridCol w:w="3346"/>
        <w:gridCol w:w="3346"/>
        <w:gridCol w:w="1586"/>
      </w:tblGrid>
      <w:tr>
        <w:tblPrEx>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CellMar>
            <w:top w:w="0" w:type="dxa"/>
            <w:left w:w="108" w:type="dxa"/>
            <w:bottom w:w="0" w:type="dxa"/>
            <w:right w:w="108" w:type="dxa"/>
          </w:tblCellMar>
        </w:tblPrEx>
        <w:trPr>
          <w:trHeight w:val="424"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24"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noWrap/>
            <w:vAlign w:val="center"/>
          </w:tcPr>
          <w:p>
            <w:pPr>
              <w:widowControl/>
              <w:ind w:right="100"/>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2555.31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941.08</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428.90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315.68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12.92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56.98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87.62</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ind w:firstLine="200" w:firstLineChars="100"/>
              <w:jc w:val="left"/>
              <w:rPr>
                <w:rFonts w:ascii="宋体" w:hAnsi="宋体" w:eastAsia="宋体" w:cs="Arial"/>
                <w:color w:val="000000"/>
                <w:kern w:val="0"/>
                <w:sz w:val="20"/>
                <w:szCs w:val="20"/>
              </w:rPr>
            </w:pPr>
            <w:r>
              <w:rPr>
                <w:rFonts w:hint="eastAsia" w:ascii="宋体" w:hAnsi="宋体" w:cs="宋体"/>
                <w:color w:val="000000"/>
                <w:kern w:val="0"/>
                <w:sz w:val="20"/>
                <w:szCs w:val="20"/>
              </w:rPr>
              <w:t>[30199]其他工资福利支出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38.98</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1313.48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10.18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2.56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8.26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1.62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7.28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63.38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8.69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22.58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875.65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226.68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300.75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101.89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198.86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5"/>
        <w:tblW w:w="8089" w:type="dxa"/>
        <w:tblInd w:w="93" w:type="dxa"/>
        <w:tblLayout w:type="autofit"/>
        <w:tblCellMar>
          <w:top w:w="0" w:type="dxa"/>
          <w:left w:w="108" w:type="dxa"/>
          <w:bottom w:w="0" w:type="dxa"/>
          <w:right w:w="108" w:type="dxa"/>
        </w:tblCellMar>
      </w:tblPr>
      <w:tblGrid>
        <w:gridCol w:w="3396"/>
        <w:gridCol w:w="3396"/>
        <w:gridCol w:w="1297"/>
      </w:tblGrid>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CellMar>
            <w:top w:w="0" w:type="dxa"/>
            <w:left w:w="108" w:type="dxa"/>
            <w:bottom w:w="0" w:type="dxa"/>
            <w:right w:w="108" w:type="dxa"/>
          </w:tblCellMar>
        </w:tblPrEx>
        <w:trPr>
          <w:trHeight w:val="340"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0" w:type="auto"/>
        <w:tblInd w:w="93" w:type="dxa"/>
        <w:tblLayout w:type="autofit"/>
        <w:tblCellMar>
          <w:top w:w="0" w:type="dxa"/>
          <w:left w:w="108" w:type="dxa"/>
          <w:bottom w:w="0" w:type="dxa"/>
          <w:right w:w="108" w:type="dxa"/>
        </w:tblCellMar>
      </w:tblPr>
      <w:tblGrid>
        <w:gridCol w:w="6427"/>
        <w:gridCol w:w="309"/>
        <w:gridCol w:w="1693"/>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CellMar>
            <w:top w:w="0" w:type="dxa"/>
            <w:left w:w="108" w:type="dxa"/>
            <w:bottom w:w="0" w:type="dxa"/>
            <w:right w:w="108" w:type="dxa"/>
          </w:tblCellMar>
        </w:tblPrEx>
        <w:trPr>
          <w:trHeight w:val="499"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CellMar>
            <w:top w:w="0" w:type="dxa"/>
            <w:left w:w="108" w:type="dxa"/>
            <w:bottom w:w="0" w:type="dxa"/>
            <w:right w:w="108" w:type="dxa"/>
          </w:tblCellMar>
        </w:tblPrEx>
        <w:trPr>
          <w:trHeight w:val="402"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53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19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w:t>
            </w:r>
            <w:r>
              <w:rPr>
                <w:rFonts w:hint="eastAsia" w:ascii="宋体" w:hAnsi="宋体" w:eastAsia="宋体" w:cs="Arial"/>
                <w:color w:val="000000"/>
                <w:kern w:val="0"/>
                <w:sz w:val="20"/>
                <w:szCs w:val="20"/>
              </w:rPr>
              <w:br w:type="textWrapping"/>
            </w: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CellMar>
            <w:top w:w="0" w:type="dxa"/>
            <w:left w:w="108" w:type="dxa"/>
            <w:bottom w:w="0" w:type="dxa"/>
            <w:right w:w="108" w:type="dxa"/>
          </w:tblCellMar>
        </w:tblPrEx>
        <w:trPr>
          <w:trHeight w:val="13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tbl>
      <w:tblPr>
        <w:tblStyle w:val="5"/>
        <w:tblW w:w="8520" w:type="dxa"/>
        <w:tblInd w:w="93" w:type="dxa"/>
        <w:tblLayout w:type="fixed"/>
        <w:tblCellMar>
          <w:top w:w="0" w:type="dxa"/>
          <w:left w:w="108" w:type="dxa"/>
          <w:bottom w:w="0" w:type="dxa"/>
          <w:right w:w="108" w:type="dxa"/>
        </w:tblCellMar>
      </w:tblPr>
      <w:tblGrid>
        <w:gridCol w:w="2578"/>
        <w:gridCol w:w="1122"/>
        <w:gridCol w:w="2942"/>
        <w:gridCol w:w="1878"/>
      </w:tblGrid>
      <w:tr>
        <w:tblPrEx>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2018年政府性基金预算支出情况表</w:t>
            </w:r>
          </w:p>
        </w:tc>
      </w:tr>
      <w:tr>
        <w:tblPrEx>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注：如该部门无政府性基金安排的支出，则本表为空。同时按照财政部有关要求，以空表呈报省人代会审议。</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5"/>
        <w:tblW w:w="8519" w:type="dxa"/>
        <w:tblInd w:w="93" w:type="dxa"/>
        <w:tblLayout w:type="autofit"/>
        <w:tblCellMar>
          <w:top w:w="0" w:type="dxa"/>
          <w:left w:w="108" w:type="dxa"/>
          <w:bottom w:w="0" w:type="dxa"/>
          <w:right w:w="108" w:type="dxa"/>
        </w:tblCellMar>
      </w:tblPr>
      <w:tblGrid>
        <w:gridCol w:w="3016"/>
        <w:gridCol w:w="1116"/>
        <w:gridCol w:w="1116"/>
        <w:gridCol w:w="1116"/>
        <w:gridCol w:w="516"/>
        <w:gridCol w:w="516"/>
        <w:gridCol w:w="516"/>
        <w:gridCol w:w="1216"/>
      </w:tblGrid>
      <w:tr>
        <w:tblPrEx>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CellMar>
            <w:top w:w="0" w:type="dxa"/>
            <w:left w:w="108" w:type="dxa"/>
            <w:bottom w:w="0" w:type="dxa"/>
            <w:right w:w="108" w:type="dxa"/>
          </w:tblCellMar>
        </w:tblPrEx>
        <w:trPr>
          <w:trHeight w:val="533" w:hRule="atLeast"/>
        </w:trPr>
        <w:tc>
          <w:tcPr>
            <w:tcW w:w="0" w:type="auto"/>
            <w:gridSpan w:val="8"/>
            <w:tcBorders>
              <w:top w:val="nil"/>
              <w:left w:val="nil"/>
              <w:bottom w:val="nil"/>
              <w:right w:val="nil"/>
            </w:tcBorders>
            <w:shd w:val="clear" w:color="auto" w:fill="auto"/>
            <w:noWrap/>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2018年部门预算基本支出预算表</w:t>
            </w:r>
          </w:p>
        </w:tc>
      </w:tr>
      <w:tr>
        <w:tblPrEx>
          <w:tblCellMar>
            <w:top w:w="0" w:type="dxa"/>
            <w:left w:w="108" w:type="dxa"/>
            <w:bottom w:w="0" w:type="dxa"/>
            <w:right w:w="108" w:type="dxa"/>
          </w:tblCellMar>
        </w:tblPrEx>
        <w:trPr>
          <w:trHeight w:val="429" w:hRule="atLeast"/>
        </w:trPr>
        <w:tc>
          <w:tcPr>
            <w:tcW w:w="0" w:type="auto"/>
            <w:gridSpan w:val="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CellMar>
            <w:top w:w="0" w:type="dxa"/>
            <w:left w:w="108" w:type="dxa"/>
            <w:bottom w:w="0" w:type="dxa"/>
            <w:right w:w="108" w:type="dxa"/>
          </w:tblCellMar>
        </w:tblPrEx>
        <w:trPr>
          <w:trHeight w:val="416"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大埔县财政局</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2555.31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2555.31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2555.31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0</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tbl>
      <w:tblPr>
        <w:tblStyle w:val="5"/>
        <w:tblW w:w="8579" w:type="dxa"/>
        <w:tblInd w:w="93" w:type="dxa"/>
        <w:tblLayout w:type="autofit"/>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CellMar>
            <w:top w:w="0" w:type="dxa"/>
            <w:left w:w="108" w:type="dxa"/>
            <w:bottom w:w="0" w:type="dxa"/>
            <w:right w:w="108" w:type="dxa"/>
          </w:tblCellMar>
        </w:tblPrEx>
        <w:trPr>
          <w:trHeight w:val="508" w:hRule="atLeast"/>
        </w:trPr>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hint="eastAsia" w:ascii="宋体" w:hAnsi="宋体" w:eastAsia="宋体" w:cs="Arial"/>
                <w:color w:val="000000"/>
                <w:kern w:val="0"/>
                <w:sz w:val="20"/>
                <w:szCs w:val="20"/>
              </w:rPr>
            </w:pPr>
          </w:p>
          <w:p>
            <w:pPr>
              <w:widowControl/>
              <w:jc w:val="center"/>
              <w:rPr>
                <w:rFonts w:hint="eastAsia" w:ascii="宋体" w:hAnsi="宋体" w:eastAsia="宋体" w:cs="Arial"/>
                <w:color w:val="000000"/>
                <w:kern w:val="0"/>
                <w:sz w:val="20"/>
                <w:szCs w:val="20"/>
              </w:rPr>
            </w:pPr>
          </w:p>
          <w:p>
            <w:pPr>
              <w:widowControl/>
              <w:jc w:val="center"/>
              <w:rPr>
                <w:rFonts w:hint="eastAsia" w:ascii="宋体" w:hAnsi="宋体" w:eastAsia="宋体" w:cs="Arial"/>
                <w:color w:val="000000"/>
                <w:kern w:val="0"/>
                <w:sz w:val="20"/>
                <w:szCs w:val="20"/>
              </w:rPr>
            </w:pPr>
          </w:p>
          <w:p>
            <w:pPr>
              <w:widowControl/>
              <w:jc w:val="center"/>
              <w:rPr>
                <w:rFonts w:hint="eastAsia" w:ascii="宋体" w:hAnsi="宋体" w:eastAsia="宋体" w:cs="Arial"/>
                <w:color w:val="000000"/>
                <w:kern w:val="0"/>
                <w:sz w:val="20"/>
                <w:szCs w:val="20"/>
              </w:rPr>
            </w:pPr>
          </w:p>
          <w:p>
            <w:pPr>
              <w:widowControl/>
              <w:jc w:val="center"/>
              <w:rPr>
                <w:rFonts w:hint="eastAsia" w:ascii="宋体" w:hAnsi="宋体" w:eastAsia="宋体" w:cs="Arial"/>
                <w:color w:val="000000"/>
                <w:kern w:val="0"/>
                <w:sz w:val="20"/>
                <w:szCs w:val="20"/>
              </w:rPr>
            </w:pPr>
          </w:p>
          <w:p>
            <w:pPr>
              <w:widowControl/>
              <w:jc w:val="center"/>
              <w:rPr>
                <w:rFonts w:hint="eastAsia" w:ascii="宋体" w:hAnsi="宋体" w:eastAsia="宋体" w:cs="Arial"/>
                <w:color w:val="000000"/>
                <w:kern w:val="0"/>
                <w:sz w:val="20"/>
                <w:szCs w:val="20"/>
              </w:rPr>
            </w:pPr>
          </w:p>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CellMar>
            <w:top w:w="0" w:type="dxa"/>
            <w:left w:w="108" w:type="dxa"/>
            <w:bottom w:w="0" w:type="dxa"/>
            <w:right w:w="108" w:type="dxa"/>
          </w:tblCellMar>
        </w:tblPrEx>
        <w:trPr>
          <w:trHeight w:val="631" w:hRule="atLeast"/>
        </w:trPr>
        <w:tc>
          <w:tcPr>
            <w:tcW w:w="0" w:type="auto"/>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2018年部门预算项目支出及其他支出预算表</w:t>
            </w:r>
          </w:p>
        </w:tc>
      </w:tr>
      <w:tr>
        <w:tblPrEx>
          <w:tblCellMar>
            <w:top w:w="0" w:type="dxa"/>
            <w:left w:w="108" w:type="dxa"/>
            <w:bottom w:w="0" w:type="dxa"/>
            <w:right w:w="108" w:type="dxa"/>
          </w:tblCellMar>
        </w:tblPrEx>
        <w:trPr>
          <w:trHeight w:val="508" w:hRule="atLeast"/>
        </w:trPr>
        <w:tc>
          <w:tcPr>
            <w:tcW w:w="0" w:type="auto"/>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CellMar>
            <w:top w:w="0" w:type="dxa"/>
            <w:left w:w="108" w:type="dxa"/>
            <w:bottom w:w="0" w:type="dxa"/>
            <w:right w:w="108" w:type="dxa"/>
          </w:tblCellMar>
        </w:tblPrEx>
        <w:trPr>
          <w:trHeight w:val="493"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CellMar>
            <w:top w:w="0" w:type="dxa"/>
            <w:left w:w="108" w:type="dxa"/>
            <w:bottom w:w="0" w:type="dxa"/>
            <w:right w:w="108" w:type="dxa"/>
          </w:tblCellMar>
        </w:tblPrEx>
        <w:trPr>
          <w:trHeight w:val="75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大埔县财政局</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2018年部门预算情况说明</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收入预算2555.31万元，比上年增加988.78万元，增长63.1%，主要原因是维持机构正常运转、政府采购工作经费、信息化建设费、农业综合开发土地治理、产业化经营等费用；支出预算2555.31万元，比上年增加988.78万元，增长63.1%，主要原因是维持机构正常运转、政府采购工作经费、信息化建设费、农业综合开发土地治理、产业化经营等费用。</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三公”经费预算安排53万元，比上年减少3万元，下降5.36%，主要原因是认真贯彻落实中央"八项规定"和厉行节约要求，进一步从严控制"三公经费"开支。其中：因公出国（境）费0万元，与上年保持不变；公务用车购置及运行费15万元，与上年保持不变；公务接待费38万元，比上年减少3万元，下降7.32%，主要原因是认真贯彻落实中央"八项规定"和厉行节约要求，进一步从严控制"三公经费"开支。</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2018年，本部门机关运行经费2342.01万元，比上年增加775.48万元，增长49.5%，主要原因是</w:t>
      </w:r>
      <w:r>
        <w:rPr>
          <w:rFonts w:hint="eastAsia" w:ascii="仿宋_GB2312" w:hAnsi="仿宋_GB2312" w:eastAsia="仿宋_GB2312" w:cs="仿宋_GB2312"/>
          <w:bCs/>
          <w:sz w:val="32"/>
          <w:szCs w:val="32"/>
        </w:rPr>
        <w:t>维持机构正常运转、</w:t>
      </w:r>
      <w:r>
        <w:rPr>
          <w:rFonts w:hint="eastAsia" w:ascii="仿宋_GB2312" w:hAnsi="仿宋_GB2312" w:eastAsia="仿宋_GB2312" w:cs="仿宋_GB2312"/>
          <w:sz w:val="32"/>
          <w:szCs w:val="32"/>
        </w:rPr>
        <w:t>农业综合开发土地治理、产业化经营等</w:t>
      </w:r>
      <w:r>
        <w:rPr>
          <w:rFonts w:hint="eastAsia" w:ascii="仿宋_GB2312" w:hAnsi="仿宋_GB2312" w:eastAsia="仿宋_GB2312" w:cs="仿宋_GB2312"/>
          <w:bCs/>
          <w:sz w:val="32"/>
          <w:szCs w:val="32"/>
        </w:rPr>
        <w:t>项目支出</w:t>
      </w:r>
      <w:r>
        <w:rPr>
          <w:rFonts w:hint="eastAsia" w:ascii="仿宋_GB2312" w:hAnsi="仿宋_GB2312" w:eastAsia="仿宋_GB2312" w:cs="仿宋_GB2312"/>
          <w:sz w:val="32"/>
          <w:szCs w:val="32"/>
        </w:rPr>
        <w:t>。其中：办公费10.18万，印刷费2.56万，邮电费7.8万，差旅费8.69万，会议费7.8万，福利费无，日常维修费无，专用材料及一般设备购置费无，办公用房水电费8.9万，办公用房取暖费无，办公用房物业管理费63.38万，公务用车运行维护费15万等。</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2018年本部门无政府采购预算。</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截至2017年12月31日，本部门占有使用国有资产总体情况为：</w:t>
      </w:r>
      <w:r>
        <w:rPr>
          <w:rFonts w:hint="eastAsia" w:ascii="仿宋_GB2312" w:hAnsi="仿宋_GB2312" w:eastAsia="仿宋_GB2312" w:cs="仿宋_GB2312"/>
          <w:bCs/>
          <w:sz w:val="32"/>
          <w:szCs w:val="32"/>
        </w:rPr>
        <w:t>本部门共有车辆 3 辆</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bCs/>
          <w:sz w:val="32"/>
          <w:szCs w:val="32"/>
        </w:rPr>
        <w:t>均为一般公务用车</w:t>
      </w:r>
      <w:r>
        <w:rPr>
          <w:rFonts w:hint="eastAsia" w:ascii="仿宋_GB2312" w:hAnsi="仿宋_GB2312" w:eastAsia="仿宋_GB2312" w:cs="仿宋_GB2312"/>
          <w:sz w:val="32"/>
          <w:szCs w:val="32"/>
        </w:rPr>
        <w:t>，主要实物资产数据情况为：</w:t>
      </w:r>
      <w:r>
        <w:rPr>
          <w:rFonts w:hint="eastAsia" w:ascii="仿宋_GB2312" w:hAnsi="仿宋_GB2312" w:eastAsia="仿宋_GB2312" w:cs="仿宋_GB2312"/>
          <w:bCs/>
          <w:sz w:val="32"/>
          <w:szCs w:val="32"/>
        </w:rPr>
        <w:t>无单位价值200万元以上的设备</w:t>
      </w:r>
      <w:r>
        <w:rPr>
          <w:rFonts w:hint="eastAsia" w:ascii="仿宋_GB2312" w:hAnsi="仿宋_GB2312" w:eastAsia="仿宋_GB2312" w:cs="仿宋_GB2312"/>
          <w:sz w:val="32"/>
          <w:szCs w:val="32"/>
        </w:rPr>
        <w:t>，资产变动情况为：无变化。</w:t>
      </w:r>
    </w:p>
    <w:p>
      <w:pPr>
        <w:numPr>
          <w:ilvl w:val="0"/>
          <w:numId w:val="5"/>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2018年，本部门未推进预算绩效信息公开工作。</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40" w:firstLineChars="200"/>
        <w:jc w:val="left"/>
        <w:rPr>
          <w:rFonts w:ascii="楷体_GB2312" w:hAnsi="楷体_GB2312" w:eastAsia="楷体_GB2312" w:cs="楷体_GB2312"/>
          <w:sz w:val="32"/>
          <w:szCs w:val="32"/>
          <w:highlight w:val="lightGray"/>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财政</w:t>
      </w:r>
      <w:r>
        <w:rPr>
          <w:rFonts w:hint="eastAsia" w:ascii="仿宋_GB2312" w:hAnsi="仿宋_GB2312" w:eastAsia="仿宋_GB2312" w:cs="仿宋_GB2312"/>
          <w:bCs/>
          <w:sz w:val="32"/>
          <w:szCs w:val="32"/>
          <w:lang w:eastAsia="zh-CN"/>
        </w:rPr>
        <w:t>拨款</w:t>
      </w:r>
      <w:r>
        <w:rPr>
          <w:rFonts w:hint="eastAsia" w:ascii="仿宋_GB2312" w:hAnsi="仿宋_GB2312" w:eastAsia="仿宋_GB2312" w:cs="仿宋_GB2312"/>
          <w:bCs/>
          <w:sz w:val="32"/>
          <w:szCs w:val="32"/>
        </w:rPr>
        <w:t>收入：指县财政当年拨付的资金。</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其他收入：指除上述"财政拨款收入"、"事业收入"等以外的收入。主要是银行存款利息收入等。</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年初结转和结余：指以前年度尚未完成、结转到本年按有关规定继续使用的资金。</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一般公共服务〔类〉财政事务〔款〕行政运行〔项》</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指财政行政单位用于保障机构正常运行、开展日常工作的支出。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一般公共服务（类）财政事务（款）信息化建设（项）：指财政用于信息化建设方面的项目支出。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Cs/>
          <w:sz w:val="32"/>
          <w:szCs w:val="32"/>
        </w:rPr>
        <w:t>一般公共服务（类）财政事务（款）事业运行〔项〕：</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指用于保障机构正常运行、开展日常工作的基本支出。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bCs/>
          <w:sz w:val="32"/>
          <w:szCs w:val="32"/>
        </w:rPr>
        <w:t>一般公共服务（类）财政事务（款）其他财政事务支出(项〕：指财政除上述项目外，开展其他财政事务方面专门性工作任务的项目支出。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bCs/>
          <w:sz w:val="32"/>
          <w:szCs w:val="32"/>
        </w:rPr>
        <w:t>一般公共服务（类）组织事务（款）其他组织事务支出(项义指用于中国共产党组织部门的其他事务支出。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bCs/>
          <w:sz w:val="32"/>
          <w:szCs w:val="32"/>
        </w:rPr>
        <w:t>社会保障和就业（类）行政事业单位离退休（款）归口管理的行政单位离退休（项）：指财政行政单位离退休人员的支出。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bCs/>
          <w:sz w:val="32"/>
          <w:szCs w:val="32"/>
        </w:rPr>
        <w:t>年末结转和结余：指本年度或以前年度预算安排、因客观条件发生变化无法按原计划实施，需要延迟到以后年度按有关规定继续使用的资金。</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bCs/>
          <w:sz w:val="32"/>
          <w:szCs w:val="32"/>
        </w:rPr>
        <w:t>基本支出：指为保障机构正常运转、完成日常工作任务而发生的人员支出和公用支出。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（十二）</w:t>
      </w:r>
      <w:r>
        <w:rPr>
          <w:rFonts w:hint="eastAsia" w:ascii="仿宋_GB2312" w:hAnsi="仿宋_GB2312" w:eastAsia="仿宋_GB2312" w:cs="仿宋_GB2312"/>
          <w:bCs/>
          <w:sz w:val="32"/>
          <w:szCs w:val="32"/>
        </w:rPr>
        <w:t>项目支出：指在基本支出之外为完成特定行政任务和事业发展目标所发生的支出。</w:t>
      </w:r>
    </w:p>
    <w:p>
      <w:pPr>
        <w:ind w:left="64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（十三）</w:t>
      </w:r>
      <w:r>
        <w:rPr>
          <w:rFonts w:hint="eastAsia" w:ascii="仿宋_GB2312" w:hAnsi="仿宋_GB2312" w:eastAsia="仿宋_GB2312" w:cs="仿宋_GB2312"/>
          <w:bCs/>
          <w:sz w:val="32"/>
          <w:szCs w:val="32"/>
        </w:rPr>
        <w:t>"三公"经费：纳入财政预决算管理的"三公"经费，是指财政部门用财政拨款安排的因公出国（境）费、公务用车购置及运行费和公务接待费。其中，因公出国（境）</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费反映单位公务出国（境）的国际旅费、国外城</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w:t>
      </w:r>
      <w:r>
        <w:rPr>
          <w:rFonts w:hint="eastAsia" w:ascii="仿宋_GB2312" w:hAnsi="仿宋_GB2312" w:eastAsia="仿宋_GB2312" w:cs="仿宋_GB2312"/>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rPr>
        <w:color w:va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34EC4"/>
    <w:rsid w:val="00035524"/>
    <w:rsid w:val="00044B2D"/>
    <w:rsid w:val="000712EE"/>
    <w:rsid w:val="000713A4"/>
    <w:rsid w:val="000A5401"/>
    <w:rsid w:val="000C3537"/>
    <w:rsid w:val="000C3A4D"/>
    <w:rsid w:val="000E4702"/>
    <w:rsid w:val="00102F84"/>
    <w:rsid w:val="001137E5"/>
    <w:rsid w:val="00150EDE"/>
    <w:rsid w:val="00163BAA"/>
    <w:rsid w:val="001A6815"/>
    <w:rsid w:val="001C71A1"/>
    <w:rsid w:val="00237EF1"/>
    <w:rsid w:val="0024119B"/>
    <w:rsid w:val="0024522E"/>
    <w:rsid w:val="00263FC9"/>
    <w:rsid w:val="00282CBF"/>
    <w:rsid w:val="0030635D"/>
    <w:rsid w:val="003358A7"/>
    <w:rsid w:val="00396CAB"/>
    <w:rsid w:val="003A0B65"/>
    <w:rsid w:val="003B486E"/>
    <w:rsid w:val="003B5500"/>
    <w:rsid w:val="003F3E27"/>
    <w:rsid w:val="003F7E37"/>
    <w:rsid w:val="00435D4A"/>
    <w:rsid w:val="00437402"/>
    <w:rsid w:val="00444D0C"/>
    <w:rsid w:val="0048089B"/>
    <w:rsid w:val="00484A0E"/>
    <w:rsid w:val="004A22B2"/>
    <w:rsid w:val="004B75F5"/>
    <w:rsid w:val="004C2E19"/>
    <w:rsid w:val="004E0627"/>
    <w:rsid w:val="00505B4A"/>
    <w:rsid w:val="0056674E"/>
    <w:rsid w:val="005B7670"/>
    <w:rsid w:val="005F7D91"/>
    <w:rsid w:val="006255B8"/>
    <w:rsid w:val="00654898"/>
    <w:rsid w:val="00663DC2"/>
    <w:rsid w:val="006935DD"/>
    <w:rsid w:val="00693D56"/>
    <w:rsid w:val="006C5E3C"/>
    <w:rsid w:val="006E0D92"/>
    <w:rsid w:val="006F6421"/>
    <w:rsid w:val="00727F19"/>
    <w:rsid w:val="00751159"/>
    <w:rsid w:val="00761D55"/>
    <w:rsid w:val="00770380"/>
    <w:rsid w:val="007B3812"/>
    <w:rsid w:val="007B65F3"/>
    <w:rsid w:val="007E67A5"/>
    <w:rsid w:val="0083736F"/>
    <w:rsid w:val="00846C45"/>
    <w:rsid w:val="00851E40"/>
    <w:rsid w:val="00854799"/>
    <w:rsid w:val="00864BC1"/>
    <w:rsid w:val="008B13BE"/>
    <w:rsid w:val="008C31CC"/>
    <w:rsid w:val="008C78F5"/>
    <w:rsid w:val="009016DB"/>
    <w:rsid w:val="00925C68"/>
    <w:rsid w:val="00980280"/>
    <w:rsid w:val="009806EA"/>
    <w:rsid w:val="0098382A"/>
    <w:rsid w:val="009C52D5"/>
    <w:rsid w:val="00A04A53"/>
    <w:rsid w:val="00A217B1"/>
    <w:rsid w:val="00A320FA"/>
    <w:rsid w:val="00A50396"/>
    <w:rsid w:val="00A56614"/>
    <w:rsid w:val="00A82044"/>
    <w:rsid w:val="00A84CE6"/>
    <w:rsid w:val="00AC6873"/>
    <w:rsid w:val="00AD73DF"/>
    <w:rsid w:val="00B33320"/>
    <w:rsid w:val="00B41C8E"/>
    <w:rsid w:val="00B73FF4"/>
    <w:rsid w:val="00BD4E40"/>
    <w:rsid w:val="00BD7887"/>
    <w:rsid w:val="00BF044B"/>
    <w:rsid w:val="00BF50CA"/>
    <w:rsid w:val="00C27B03"/>
    <w:rsid w:val="00C50BA3"/>
    <w:rsid w:val="00C76D1E"/>
    <w:rsid w:val="00C87A8E"/>
    <w:rsid w:val="00CE3913"/>
    <w:rsid w:val="00CF3C31"/>
    <w:rsid w:val="00D0003E"/>
    <w:rsid w:val="00D0236B"/>
    <w:rsid w:val="00D54DE6"/>
    <w:rsid w:val="00DA497E"/>
    <w:rsid w:val="00DB4C50"/>
    <w:rsid w:val="00DC4163"/>
    <w:rsid w:val="00E16C87"/>
    <w:rsid w:val="00E552CE"/>
    <w:rsid w:val="00EA0512"/>
    <w:rsid w:val="00EA3A29"/>
    <w:rsid w:val="00EA4802"/>
    <w:rsid w:val="00EA4F11"/>
    <w:rsid w:val="00F01434"/>
    <w:rsid w:val="00F41FA5"/>
    <w:rsid w:val="00F50B4A"/>
    <w:rsid w:val="00F61167"/>
    <w:rsid w:val="00F6274C"/>
    <w:rsid w:val="00F83FBF"/>
    <w:rsid w:val="00FD725E"/>
    <w:rsid w:val="00FE3572"/>
    <w:rsid w:val="13016A31"/>
    <w:rsid w:val="20EE6A13"/>
    <w:rsid w:val="36E602DD"/>
    <w:rsid w:val="50CB6A87"/>
    <w:rsid w:val="60E37A9B"/>
    <w:rsid w:val="66D06120"/>
    <w:rsid w:val="6724042C"/>
    <w:rsid w:val="6D9B07DA"/>
    <w:rsid w:val="71030B67"/>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 w:type="character" w:customStyle="1" w:styleId="10">
    <w:name w:val="Font Style31"/>
    <w:basedOn w:val="6"/>
    <w:uiPriority w:val="99"/>
    <w:rPr>
      <w:rFonts w:ascii="宋体" w:eastAsia="宋体" w:cs="宋体"/>
      <w:b/>
      <w:bCs/>
      <w:spacing w:val="20"/>
      <w:sz w:val="28"/>
      <w:szCs w:val="28"/>
    </w:rPr>
  </w:style>
  <w:style w:type="character" w:customStyle="1" w:styleId="11">
    <w:name w:val="Font Style49"/>
    <w:basedOn w:val="6"/>
    <w:uiPriority w:val="99"/>
    <w:rPr>
      <w:rFonts w:ascii="宋体" w:eastAsia="宋体" w:cs="宋体"/>
      <w:b/>
      <w:bCs/>
      <w:spacing w:val="30"/>
      <w:sz w:val="26"/>
      <w:szCs w:val="26"/>
    </w:rPr>
  </w:style>
  <w:style w:type="paragraph" w:customStyle="1" w:styleId="12">
    <w:name w:val="Style12"/>
    <w:basedOn w:val="1"/>
    <w:uiPriority w:val="99"/>
    <w:pPr>
      <w:adjustRightInd w:val="0"/>
      <w:spacing w:line="624" w:lineRule="exact"/>
      <w:ind w:firstLine="634"/>
    </w:pPr>
    <w:rPr>
      <w:rFonts w:ascii="黑体" w:eastAsia="黑体"/>
      <w:kern w:val="0"/>
      <w:sz w:val="24"/>
    </w:rPr>
  </w:style>
  <w:style w:type="paragraph" w:customStyle="1" w:styleId="13">
    <w:name w:val="Style14"/>
    <w:basedOn w:val="1"/>
    <w:uiPriority w:val="99"/>
    <w:pPr>
      <w:adjustRightInd w:val="0"/>
      <w:spacing w:line="634" w:lineRule="exact"/>
      <w:ind w:firstLine="643"/>
      <w:jc w:val="left"/>
    </w:pPr>
    <w:rPr>
      <w:rFonts w:ascii="黑体" w:eastAsia="黑体"/>
      <w:kern w:val="0"/>
      <w:sz w:val="24"/>
    </w:rPr>
  </w:style>
  <w:style w:type="character" w:customStyle="1" w:styleId="14">
    <w:name w:val="Font Style38"/>
    <w:basedOn w:val="6"/>
    <w:uiPriority w:val="99"/>
    <w:rPr>
      <w:rFonts w:ascii="宋体" w:eastAsia="宋体" w:cs="宋体"/>
      <w:b/>
      <w:bCs/>
      <w:sz w:val="30"/>
      <w:szCs w:val="30"/>
    </w:rPr>
  </w:style>
  <w:style w:type="paragraph" w:customStyle="1" w:styleId="15">
    <w:name w:val="Style10"/>
    <w:basedOn w:val="1"/>
    <w:uiPriority w:val="99"/>
    <w:pPr>
      <w:adjustRightInd w:val="0"/>
      <w:spacing w:line="504" w:lineRule="exact"/>
      <w:ind w:hanging="662"/>
      <w:jc w:val="left"/>
    </w:pPr>
    <w:rPr>
      <w:rFonts w:ascii="黑体" w:eastAsia="黑体"/>
      <w:kern w:val="0"/>
      <w:sz w:val="24"/>
    </w:rPr>
  </w:style>
  <w:style w:type="paragraph" w:customStyle="1" w:styleId="16">
    <w:name w:val="Style1"/>
    <w:basedOn w:val="1"/>
    <w:uiPriority w:val="99"/>
    <w:pPr>
      <w:adjustRightInd w:val="0"/>
    </w:pPr>
    <w:rPr>
      <w:rFonts w:ascii="黑体" w:eastAsia="黑体"/>
      <w:kern w:val="0"/>
      <w:sz w:val="24"/>
    </w:rPr>
  </w:style>
  <w:style w:type="paragraph" w:styleId="17">
    <w:name w:val="List Paragraph"/>
    <w:basedOn w:val="1"/>
    <w:unhideWhenUsed/>
    <w:uiPriority w:val="99"/>
    <w:pPr>
      <w:ind w:firstLine="420" w:firstLineChars="200"/>
    </w:pPr>
  </w:style>
  <w:style w:type="character" w:customStyle="1" w:styleId="18">
    <w:name w:val="Font Style51"/>
    <w:basedOn w:val="6"/>
    <w:uiPriority w:val="99"/>
    <w:rPr>
      <w:rFonts w:ascii="MingLiU" w:eastAsia="MingLiU" w:cs="MingLiU"/>
      <w:b/>
      <w:bCs/>
      <w:spacing w:val="-30"/>
      <w:w w:val="70"/>
      <w:sz w:val="34"/>
      <w:szCs w:val="34"/>
    </w:rPr>
  </w:style>
  <w:style w:type="character" w:customStyle="1" w:styleId="19">
    <w:name w:val="Font Style50"/>
    <w:basedOn w:val="6"/>
    <w:uiPriority w:val="99"/>
    <w:rPr>
      <w:rFonts w:ascii="宋体" w:eastAsia="宋体" w:cs="宋体"/>
      <w:b/>
      <w:bCs/>
      <w:spacing w:val="3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E79C3-B975-4E80-8FDF-D8B7C9F19CE4}">
  <ds:schemaRefs/>
</ds:datastoreItem>
</file>

<file path=docProps/app.xml><?xml version="1.0" encoding="utf-8"?>
<Properties xmlns="http://schemas.openxmlformats.org/officeDocument/2006/extended-properties" xmlns:vt="http://schemas.openxmlformats.org/officeDocument/2006/docPropsVTypes">
  <Template>Normal</Template>
  <Pages>21</Pages>
  <Words>1519</Words>
  <Characters>8663</Characters>
  <Lines>72</Lines>
  <Paragraphs>20</Paragraphs>
  <TotalTime>299</TotalTime>
  <ScaleCrop>false</ScaleCrop>
  <LinksUpToDate>false</LinksUpToDate>
  <CharactersWithSpaces>10162</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2018-03-30T01:37:00Z</dcterms:created>
  <dc:creator>huangzj</dc:creator>
  <cp:lastModifiedBy>有多骄傲v</cp:lastModifiedBy>
  <cp:lastPrinted>2018-04-12T03:01:00Z</cp:lastPrinted>
  <dcterms:modified xsi:type="dcterms:W3CDTF">2022-05-25T09:37:24Z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238BF6565F8442FEA471C81D457CBCF9</vt:lpwstr>
  </property>
</Properties>
</file>