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53" w:rsidRDefault="00C74453" w:rsidP="00154F63">
      <w:pPr>
        <w:pStyle w:val="a3"/>
        <w:shd w:val="clear" w:color="auto" w:fill="FFFFFF"/>
        <w:wordWrap w:val="0"/>
        <w:spacing w:before="0" w:beforeAutospacing="0" w:after="0" w:afterAutospacing="0" w:line="720" w:lineRule="atLeast"/>
        <w:jc w:val="center"/>
        <w:rPr>
          <w:rStyle w:val="a4"/>
          <w:rFonts w:ascii="黑体" w:eastAsia="黑体" w:hAnsi="黑体"/>
          <w:color w:val="424242"/>
          <w:sz w:val="44"/>
          <w:szCs w:val="44"/>
        </w:rPr>
      </w:pPr>
    </w:p>
    <w:p w:rsidR="00154F63" w:rsidRDefault="00154F63" w:rsidP="00154F63">
      <w:pPr>
        <w:pStyle w:val="a3"/>
        <w:shd w:val="clear" w:color="auto" w:fill="FFFFFF"/>
        <w:wordWrap w:val="0"/>
        <w:spacing w:before="0" w:beforeAutospacing="0" w:after="0" w:afterAutospacing="0" w:line="720" w:lineRule="atLeast"/>
        <w:jc w:val="center"/>
        <w:rPr>
          <w:rStyle w:val="a4"/>
          <w:rFonts w:ascii="黑体" w:eastAsia="黑体" w:hAnsi="黑体"/>
          <w:color w:val="424242"/>
          <w:sz w:val="44"/>
          <w:szCs w:val="44"/>
        </w:rPr>
      </w:pPr>
      <w:r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关于202</w:t>
      </w:r>
      <w:r w:rsidR="00CF2D9D">
        <w:rPr>
          <w:rStyle w:val="a4"/>
          <w:rFonts w:ascii="黑体" w:eastAsia="黑体" w:hAnsi="黑体" w:hint="eastAsia"/>
          <w:color w:val="424242"/>
          <w:sz w:val="44"/>
          <w:szCs w:val="44"/>
        </w:rPr>
        <w:t>3</w:t>
      </w:r>
      <w:r w:rsidRPr="00154F63">
        <w:rPr>
          <w:rStyle w:val="a4"/>
          <w:rFonts w:ascii="黑体" w:eastAsia="黑体" w:hAnsi="黑体" w:hint="eastAsia"/>
          <w:color w:val="424242"/>
          <w:sz w:val="44"/>
          <w:szCs w:val="44"/>
        </w:rPr>
        <w:t>年大埔县一般公共预算“三公”经费安排及变动情况说明</w:t>
      </w:r>
    </w:p>
    <w:p w:rsidR="00154F63" w:rsidRPr="00154F63" w:rsidRDefault="00154F63" w:rsidP="00154F63">
      <w:pPr>
        <w:pStyle w:val="a3"/>
        <w:shd w:val="clear" w:color="auto" w:fill="FFFFFF"/>
        <w:wordWrap w:val="0"/>
        <w:spacing w:before="0" w:beforeAutospacing="0" w:after="0" w:afterAutospacing="0" w:line="720" w:lineRule="atLeast"/>
        <w:jc w:val="center"/>
        <w:rPr>
          <w:rFonts w:ascii="黑体" w:eastAsia="黑体" w:hAnsi="黑体"/>
          <w:color w:val="424242"/>
          <w:sz w:val="44"/>
          <w:szCs w:val="44"/>
        </w:rPr>
      </w:pPr>
    </w:p>
    <w:p w:rsidR="00154F63" w:rsidRPr="00F02E9B" w:rsidRDefault="00CF2D9D" w:rsidP="0024376D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634"/>
        <w:rPr>
          <w:rFonts w:ascii="楷体" w:eastAsia="楷体" w:hAnsi="楷体"/>
          <w:color w:val="424242"/>
          <w:sz w:val="32"/>
          <w:szCs w:val="32"/>
        </w:rPr>
      </w:pPr>
      <w:r w:rsidRPr="00F02E9B">
        <w:rPr>
          <w:rFonts w:ascii="楷体" w:eastAsia="楷体" w:hAnsi="楷体" w:hint="eastAsia"/>
          <w:color w:val="424242"/>
          <w:sz w:val="32"/>
          <w:szCs w:val="32"/>
        </w:rPr>
        <w:t>2023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年本级财政拨款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（全口径）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安排“三公”经费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2127.27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万元，比上年减少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105.45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</w:t>
      </w:r>
      <w:r w:rsidR="00154F63" w:rsidRPr="00F02E9B">
        <w:rPr>
          <w:rStyle w:val="a4"/>
          <w:rFonts w:ascii="楷体" w:eastAsia="楷体" w:hAnsi="楷体" w:hint="eastAsia"/>
          <w:color w:val="424242"/>
          <w:sz w:val="32"/>
          <w:szCs w:val="32"/>
        </w:rPr>
        <w:t>，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原因是树立长期过“紧日子”思想，坚持厉行节约，除重点领域及刚性必保支出外，对因公出国（境）、公务接待、公务用车、会议、培训等一般性支出，都按一定比例压减。其中：因公出国（境）支出5</w:t>
      </w:r>
      <w:r w:rsidR="0024376D" w:rsidRPr="00F02E9B">
        <w:rPr>
          <w:rFonts w:ascii="楷体" w:eastAsia="楷体" w:hAnsi="楷体" w:hint="eastAsia"/>
          <w:color w:val="424242"/>
          <w:sz w:val="32"/>
          <w:szCs w:val="32"/>
        </w:rPr>
        <w:t>0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.5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万元，比上年减少</w:t>
      </w:r>
      <w:r w:rsidR="0024376D" w:rsidRPr="00F02E9B">
        <w:rPr>
          <w:rFonts w:ascii="楷体" w:eastAsia="楷体" w:hAnsi="楷体" w:hint="eastAsia"/>
          <w:color w:val="424242"/>
          <w:sz w:val="32"/>
          <w:szCs w:val="32"/>
        </w:rPr>
        <w:t>6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.68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</w:t>
      </w:r>
      <w:bookmarkStart w:id="0" w:name="_GoBack"/>
      <w:bookmarkEnd w:id="0"/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，原因是压减支出；公务用车购置及运行维护支出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1250.86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万元（公务用车购置费</w:t>
      </w:r>
      <w:r w:rsidR="0024376D" w:rsidRPr="00F02E9B">
        <w:rPr>
          <w:rFonts w:ascii="楷体" w:eastAsia="楷体" w:hAnsi="楷体" w:hint="eastAsia"/>
          <w:color w:val="424242"/>
          <w:sz w:val="32"/>
          <w:szCs w:val="32"/>
        </w:rPr>
        <w:t>180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万元，公务用车运行维护费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1070.86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万元），比上年减少</w:t>
      </w:r>
      <w:r w:rsidR="0024376D" w:rsidRPr="00F02E9B">
        <w:rPr>
          <w:rFonts w:ascii="楷体" w:eastAsia="楷体" w:hAnsi="楷体" w:hint="eastAsia"/>
          <w:color w:val="424242"/>
          <w:sz w:val="32"/>
          <w:szCs w:val="32"/>
        </w:rPr>
        <w:t>9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6.5</w:t>
      </w:r>
      <w:r w:rsidR="00124B79" w:rsidRPr="00F02E9B">
        <w:rPr>
          <w:rFonts w:ascii="楷体" w:eastAsia="楷体" w:hAnsi="楷体" w:hint="eastAsia"/>
          <w:color w:val="424242"/>
          <w:sz w:val="32"/>
          <w:szCs w:val="32"/>
        </w:rPr>
        <w:t>8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万元，原因是压减支出；公务接待费支出</w:t>
      </w:r>
      <w:r w:rsidRPr="00F02E9B">
        <w:rPr>
          <w:rFonts w:ascii="楷体" w:eastAsia="楷体" w:hAnsi="楷体" w:hint="eastAsia"/>
          <w:color w:val="424242"/>
          <w:sz w:val="32"/>
          <w:szCs w:val="32"/>
        </w:rPr>
        <w:t>825.91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万元，比上年减少</w:t>
      </w:r>
      <w:r w:rsidR="0024376D" w:rsidRPr="00F02E9B">
        <w:rPr>
          <w:rFonts w:ascii="楷体" w:eastAsia="楷体" w:hAnsi="楷体" w:hint="eastAsia"/>
          <w:color w:val="424242"/>
          <w:sz w:val="32"/>
          <w:szCs w:val="32"/>
        </w:rPr>
        <w:t>2.</w:t>
      </w:r>
      <w:r w:rsidR="00124B79" w:rsidRPr="00F02E9B">
        <w:rPr>
          <w:rFonts w:ascii="楷体" w:eastAsia="楷体" w:hAnsi="楷体" w:hint="eastAsia"/>
          <w:color w:val="424242"/>
          <w:sz w:val="32"/>
          <w:szCs w:val="32"/>
        </w:rPr>
        <w:t>1</w:t>
      </w:r>
      <w:r w:rsidR="0024376D" w:rsidRPr="00F02E9B">
        <w:rPr>
          <w:rFonts w:ascii="楷体" w:eastAsia="楷体" w:hAnsi="楷体" w:hint="eastAsia"/>
          <w:color w:val="424242"/>
          <w:sz w:val="32"/>
          <w:szCs w:val="32"/>
        </w:rPr>
        <w:t>9</w:t>
      </w:r>
      <w:r w:rsidR="00154F63" w:rsidRPr="00F02E9B">
        <w:rPr>
          <w:rFonts w:ascii="楷体" w:eastAsia="楷体" w:hAnsi="楷体" w:hint="eastAsia"/>
          <w:color w:val="424242"/>
          <w:sz w:val="32"/>
          <w:szCs w:val="32"/>
        </w:rPr>
        <w:t>万元，原因是压减支出。</w:t>
      </w:r>
    </w:p>
    <w:p w:rsidR="00B85E32" w:rsidRPr="00154F63" w:rsidRDefault="00B85E32">
      <w:pPr>
        <w:rPr>
          <w:rFonts w:ascii="仿宋_GB2312" w:eastAsia="仿宋_GB2312"/>
          <w:sz w:val="32"/>
          <w:szCs w:val="32"/>
        </w:rPr>
      </w:pPr>
    </w:p>
    <w:sectPr w:rsidR="00B85E32" w:rsidRPr="0015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4F"/>
    <w:rsid w:val="00124B79"/>
    <w:rsid w:val="00154F63"/>
    <w:rsid w:val="0024376D"/>
    <w:rsid w:val="0031134F"/>
    <w:rsid w:val="00B85E32"/>
    <w:rsid w:val="00C74453"/>
    <w:rsid w:val="00CF2D9D"/>
    <w:rsid w:val="00F0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F6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24B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4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4F6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24B7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4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cp:lastPrinted>2023-03-08T02:27:00Z</cp:lastPrinted>
  <dcterms:created xsi:type="dcterms:W3CDTF">2022-02-24T00:45:00Z</dcterms:created>
  <dcterms:modified xsi:type="dcterms:W3CDTF">2023-03-08T02:29:00Z</dcterms:modified>
</cp:coreProperties>
</file>