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AD599">
      <w:pPr>
        <w:keepNext w:val="0"/>
        <w:keepLines w:val="0"/>
        <w:pageBreakBefore w:val="0"/>
        <w:widowControl w:val="0"/>
        <w:tabs>
          <w:tab w:val="left" w:pos="7608"/>
          <w:tab w:val="left" w:pos="8559"/>
        </w:tabs>
        <w:kinsoku/>
        <w:wordWrap/>
        <w:overflowPunct/>
        <w:topLinePunct w:val="0"/>
        <w:autoSpaceDE/>
        <w:autoSpaceDN/>
        <w:bidi w:val="0"/>
        <w:adjustRightInd/>
        <w:snapToGrid/>
        <w:spacing w:line="540" w:lineRule="exact"/>
        <w:ind w:right="480"/>
        <w:jc w:val="left"/>
        <w:textAlignment w:val="auto"/>
        <w:rPr>
          <w:rFonts w:hint="default"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附件3</w:t>
      </w:r>
    </w:p>
    <w:p w14:paraId="46126AB3">
      <w:pPr>
        <w:keepNext w:val="0"/>
        <w:keepLines w:val="0"/>
        <w:pageBreakBefore w:val="0"/>
        <w:widowControl w:val="0"/>
        <w:tabs>
          <w:tab w:val="left" w:pos="7608"/>
          <w:tab w:val="left" w:pos="8559"/>
        </w:tabs>
        <w:kinsoku/>
        <w:wordWrap/>
        <w:overflowPunct/>
        <w:topLinePunct w:val="0"/>
        <w:autoSpaceDE/>
        <w:autoSpaceDN/>
        <w:bidi w:val="0"/>
        <w:adjustRightInd/>
        <w:snapToGrid/>
        <w:spacing w:line="540" w:lineRule="exact"/>
        <w:ind w:right="480"/>
        <w:jc w:val="left"/>
        <w:textAlignment w:val="auto"/>
        <w:rPr>
          <w:rFonts w:hint="default" w:ascii="方正黑体_GBK" w:hAnsi="方正黑体_GBK" w:eastAsia="方正黑体_GBK" w:cs="方正黑体_GBK"/>
          <w:szCs w:val="32"/>
          <w:lang w:val="en-US" w:eastAsia="zh-CN"/>
        </w:rPr>
      </w:pPr>
    </w:p>
    <w:p w14:paraId="597BD33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大埔蜜柚地理标志产品保护要求</w:t>
      </w:r>
    </w:p>
    <w:p w14:paraId="5271F984">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9BB367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一、地理标志产品名称</w:t>
      </w:r>
    </w:p>
    <w:p w14:paraId="3D81B80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大埔蜜柚。</w:t>
      </w:r>
    </w:p>
    <w:p w14:paraId="3DAF492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二、申请人</w:t>
      </w:r>
    </w:p>
    <w:p w14:paraId="493D56B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广东省梅州市大埔县人民政府。</w:t>
      </w:r>
    </w:p>
    <w:p w14:paraId="0C089F0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sz w:val="32"/>
          <w:szCs w:val="32"/>
          <w:lang w:val="en-US"/>
        </w:rPr>
      </w:pPr>
      <w:r>
        <w:rPr>
          <w:rFonts w:hint="eastAsia" w:ascii="黑体" w:hAnsi="宋体" w:eastAsia="黑体" w:cs="黑体"/>
          <w:color w:val="000000"/>
          <w:kern w:val="0"/>
          <w:sz w:val="32"/>
          <w:szCs w:val="32"/>
          <w:lang w:val="en-US" w:eastAsia="zh-CN" w:bidi="ar"/>
        </w:rPr>
        <w:t>三、产地范围</w:t>
      </w:r>
    </w:p>
    <w:p w14:paraId="3A03662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大埔县县域内，包括大埔县现辖下的湖寮、百侯、枫朗、大东、光德、桃源、高陂、大麻、三河、洲瑞、银江、茶阳、西河、青溪、丰溪林场等</w:t>
      </w:r>
      <w:r>
        <w:rPr>
          <w:rFonts w:hint="default" w:ascii="Times New Roman" w:hAnsi="Times New Roman" w:eastAsia="宋体" w:cs="Times New Roman"/>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个镇场。地理坐标：东经</w:t>
      </w:r>
      <w:r>
        <w:rPr>
          <w:rFonts w:hint="default" w:ascii="Times New Roman" w:hAnsi="Times New Roman" w:eastAsia="宋体" w:cs="Times New Roman"/>
          <w:color w:val="000000"/>
          <w:kern w:val="0"/>
          <w:sz w:val="32"/>
          <w:szCs w:val="32"/>
          <w:lang w:val="en-US" w:eastAsia="zh-CN" w:bidi="ar"/>
        </w:rPr>
        <w:t>116°18′</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116°56′</w:t>
      </w:r>
      <w:r>
        <w:rPr>
          <w:rFonts w:hint="eastAsia" w:ascii="仿宋_GB2312" w:hAnsi="宋体" w:eastAsia="仿宋_GB2312" w:cs="仿宋_GB2312"/>
          <w:color w:val="000000"/>
          <w:kern w:val="0"/>
          <w:sz w:val="32"/>
          <w:szCs w:val="32"/>
          <w:lang w:val="en-US" w:eastAsia="zh-CN" w:bidi="ar"/>
        </w:rPr>
        <w:t>，北纬</w:t>
      </w:r>
      <w:r>
        <w:rPr>
          <w:rFonts w:hint="default" w:ascii="Times New Roman" w:hAnsi="Times New Roman" w:eastAsia="宋体" w:cs="Times New Roman"/>
          <w:color w:val="000000"/>
          <w:kern w:val="0"/>
          <w:sz w:val="32"/>
          <w:szCs w:val="32"/>
          <w:lang w:val="en-US" w:eastAsia="zh-CN" w:bidi="ar"/>
        </w:rPr>
        <w:t>24°01′</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24°41′</w:t>
      </w:r>
      <w:r>
        <w:rPr>
          <w:rFonts w:hint="eastAsia" w:ascii="仿宋_GB2312" w:hAnsi="宋体" w:eastAsia="仿宋_GB2312" w:cs="仿宋_GB2312"/>
          <w:color w:val="000000"/>
          <w:kern w:val="0"/>
          <w:sz w:val="32"/>
          <w:szCs w:val="32"/>
          <w:lang w:val="en-US" w:eastAsia="zh-CN" w:bidi="ar"/>
        </w:rPr>
        <w:t>。</w:t>
      </w:r>
    </w:p>
    <w:p w14:paraId="4C2575D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四、质量要求</w:t>
      </w:r>
    </w:p>
    <w:p w14:paraId="5D7F9C13">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ascii="楷体_GB2312" w:hAnsi="宋体" w:eastAsia="楷体_GB2312" w:cs="楷体_GB2312"/>
          <w:b/>
          <w:bCs/>
          <w:color w:val="000000"/>
          <w:kern w:val="0"/>
          <w:sz w:val="32"/>
          <w:szCs w:val="32"/>
          <w:lang w:val="en-US" w:eastAsia="zh-CN" w:bidi="ar"/>
        </w:rPr>
        <w:t>（一）品种</w:t>
      </w:r>
    </w:p>
    <w:p w14:paraId="09032850">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本地种植地方品种。</w:t>
      </w:r>
    </w:p>
    <w:p w14:paraId="1855157E">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（二）立地条件</w:t>
      </w:r>
    </w:p>
    <w:p w14:paraId="743D2CB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土层厚度≥</w:t>
      </w:r>
      <w:r>
        <w:rPr>
          <w:rFonts w:hint="default" w:ascii="Times New Roman" w:hAnsi="Times New Roman" w:eastAsia="宋体" w:cs="Times New Roman"/>
          <w:color w:val="000000"/>
          <w:kern w:val="0"/>
          <w:sz w:val="32"/>
          <w:szCs w:val="32"/>
          <w:lang w:val="en-US" w:eastAsia="zh-CN" w:bidi="ar"/>
        </w:rPr>
        <w:t>100cm</w:t>
      </w:r>
      <w:r>
        <w:rPr>
          <w:rFonts w:hint="eastAsia" w:ascii="仿宋_GB2312" w:hAnsi="宋体" w:eastAsia="仿宋_GB2312" w:cs="仿宋_GB2312"/>
          <w:color w:val="000000"/>
          <w:kern w:val="0"/>
          <w:sz w:val="32"/>
          <w:szCs w:val="32"/>
          <w:lang w:val="en-US" w:eastAsia="zh-CN" w:bidi="ar"/>
        </w:rPr>
        <w:t>，土壤类型为砂壤—重壤、土质沙壤土或壤土，土壤</w:t>
      </w:r>
      <w:r>
        <w:rPr>
          <w:rFonts w:hint="default" w:ascii="Times New Roman" w:hAnsi="Times New Roman" w:eastAsia="宋体" w:cs="Times New Roman"/>
          <w:color w:val="000000"/>
          <w:kern w:val="0"/>
          <w:sz w:val="32"/>
          <w:szCs w:val="32"/>
          <w:lang w:val="en-US" w:eastAsia="zh-CN" w:bidi="ar"/>
        </w:rPr>
        <w:t>pH</w:t>
      </w:r>
      <w:r>
        <w:rPr>
          <w:rFonts w:hint="eastAsia" w:ascii="仿宋_GB2312" w:hAnsi="宋体" w:eastAsia="仿宋_GB2312" w:cs="仿宋_GB2312"/>
          <w:color w:val="000000"/>
          <w:kern w:val="0"/>
          <w:sz w:val="32"/>
          <w:szCs w:val="32"/>
          <w:lang w:val="en-US" w:eastAsia="zh-CN" w:bidi="ar"/>
        </w:rPr>
        <w:t>值</w:t>
      </w:r>
      <w:r>
        <w:rPr>
          <w:rFonts w:hint="default" w:ascii="Times New Roman" w:hAnsi="Times New Roman" w:eastAsia="宋体" w:cs="Times New Roman"/>
          <w:color w:val="000000"/>
          <w:kern w:val="0"/>
          <w:sz w:val="32"/>
          <w:szCs w:val="32"/>
          <w:lang w:val="en-US" w:eastAsia="zh-CN" w:bidi="ar"/>
        </w:rPr>
        <w:t>6.5</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7.5</w:t>
      </w:r>
      <w:r>
        <w:rPr>
          <w:rFonts w:hint="eastAsia" w:ascii="仿宋_GB2312" w:hAnsi="宋体" w:eastAsia="仿宋_GB2312" w:cs="仿宋_GB2312"/>
          <w:color w:val="000000"/>
          <w:kern w:val="0"/>
          <w:sz w:val="32"/>
          <w:szCs w:val="32"/>
          <w:lang w:val="en-US" w:eastAsia="zh-CN" w:bidi="ar"/>
        </w:rPr>
        <w:t>。</w:t>
      </w:r>
    </w:p>
    <w:p w14:paraId="7D5D3C49">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（三）栽培管理 </w:t>
      </w:r>
    </w:p>
    <w:p w14:paraId="77564149">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方正仿宋_GBK" w:hAnsi="方正仿宋_GBK" w:eastAsia="方正仿宋_GBK" w:cs="方正仿宋_GBK"/>
          <w:b/>
          <w:bCs/>
          <w:color w:val="000000"/>
          <w:kern w:val="0"/>
          <w:sz w:val="32"/>
          <w:szCs w:val="32"/>
          <w:lang w:val="en-US" w:eastAsia="zh-CN" w:bidi="ar"/>
        </w:rPr>
        <w:t>1.育苗。</w:t>
      </w:r>
      <w:r>
        <w:rPr>
          <w:rFonts w:hint="eastAsia" w:ascii="仿宋_GB2312" w:hAnsi="宋体" w:eastAsia="仿宋_GB2312" w:cs="仿宋_GB2312"/>
          <w:color w:val="000000"/>
          <w:kern w:val="0"/>
          <w:sz w:val="32"/>
          <w:szCs w:val="32"/>
          <w:lang w:val="en-US" w:eastAsia="zh-CN" w:bidi="ar"/>
        </w:rPr>
        <w:t>选择土柚或酸柚为砧木。选盛果龄的丰产、品质优、果形好、品种纯正的优良母树，在树冠外围的生长健壮、充实、叶片完整、浓绿、芽眼饱满、已木质化的春梢作接穗。</w:t>
      </w:r>
    </w:p>
    <w:p w14:paraId="030EFC31">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default" w:ascii="方正仿宋_GBK" w:hAnsi="方正仿宋_GBK" w:eastAsia="方正仿宋_GBK" w:cs="方正仿宋_GBK"/>
          <w:b/>
          <w:bCs/>
          <w:color w:val="000000"/>
          <w:kern w:val="0"/>
          <w:sz w:val="32"/>
          <w:szCs w:val="32"/>
          <w:lang w:val="en-US" w:eastAsia="zh-CN" w:bidi="ar"/>
        </w:rPr>
        <w:t>2.</w:t>
      </w:r>
      <w:r>
        <w:rPr>
          <w:rFonts w:hint="eastAsia" w:ascii="方正仿宋_GBK" w:hAnsi="方正仿宋_GBK" w:eastAsia="方正仿宋_GBK" w:cs="方正仿宋_GBK"/>
          <w:b/>
          <w:bCs/>
          <w:color w:val="000000"/>
          <w:kern w:val="0"/>
          <w:sz w:val="32"/>
          <w:szCs w:val="32"/>
          <w:lang w:val="en-US" w:eastAsia="zh-CN" w:bidi="ar"/>
        </w:rPr>
        <w:t>定植。</w:t>
      </w:r>
      <w:r>
        <w:rPr>
          <w:rFonts w:hint="eastAsia" w:ascii="仿宋_GB2312" w:hAnsi="宋体" w:eastAsia="仿宋_GB2312" w:cs="仿宋_GB2312"/>
          <w:color w:val="000000"/>
          <w:kern w:val="0"/>
          <w:sz w:val="32"/>
          <w:szCs w:val="32"/>
          <w:lang w:val="en-US" w:eastAsia="zh-CN" w:bidi="ar"/>
        </w:rPr>
        <w:t>种植时间为春植、秋植，柚苗秋梢转绿老化后定植，春植</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月中下旬，秋植</w:t>
      </w:r>
      <w:r>
        <w:rPr>
          <w:rFonts w:hint="default" w:ascii="Times New Roman" w:hAnsi="Times New Roman" w:eastAsia="宋体" w:cs="Times New Roman"/>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月中下旬。</w:t>
      </w:r>
    </w:p>
    <w:p w14:paraId="33299EC2">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（四）采收</w:t>
      </w:r>
    </w:p>
    <w:p w14:paraId="506BE319">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9</w:t>
      </w:r>
      <w:r>
        <w:rPr>
          <w:rFonts w:hint="eastAsia" w:ascii="仿宋_GB2312" w:hAnsi="宋体" w:eastAsia="仿宋_GB2312" w:cs="仿宋_GB2312"/>
          <w:color w:val="000000"/>
          <w:kern w:val="0"/>
          <w:sz w:val="32"/>
          <w:szCs w:val="32"/>
          <w:lang w:val="en-US" w:eastAsia="zh-CN" w:bidi="ar"/>
        </w:rPr>
        <w:t>月下旬，果皮转色面积≥</w:t>
      </w:r>
      <w:r>
        <w:rPr>
          <w:rFonts w:hint="default" w:ascii="Times New Roman" w:hAnsi="Times New Roman" w:eastAsia="宋体" w:cs="Times New Roman"/>
          <w:color w:val="000000"/>
          <w:kern w:val="0"/>
          <w:sz w:val="32"/>
          <w:szCs w:val="32"/>
          <w:lang w:val="en-US" w:eastAsia="zh-CN" w:bidi="ar"/>
        </w:rPr>
        <w:t>3/4</w:t>
      </w:r>
      <w:r>
        <w:rPr>
          <w:rFonts w:hint="eastAsia" w:ascii="仿宋_GB2312" w:hAnsi="宋体" w:eastAsia="仿宋_GB2312" w:cs="仿宋_GB2312"/>
          <w:color w:val="000000"/>
          <w:kern w:val="0"/>
          <w:sz w:val="32"/>
          <w:szCs w:val="32"/>
          <w:lang w:val="en-US" w:eastAsia="zh-CN" w:bidi="ar"/>
        </w:rPr>
        <w:t>后分期采收，贮藏果比鲜销果早</w:t>
      </w:r>
      <w:r>
        <w:rPr>
          <w:rFonts w:hint="default" w:ascii="Times New Roman" w:hAnsi="Times New Roman" w:eastAsia="宋体" w:cs="Times New Roman"/>
          <w:color w:val="000000"/>
          <w:kern w:val="0"/>
          <w:sz w:val="32"/>
          <w:szCs w:val="32"/>
          <w:lang w:val="en-US" w:eastAsia="zh-CN" w:bidi="ar"/>
        </w:rPr>
        <w:t>7-10</w:t>
      </w:r>
      <w:r>
        <w:rPr>
          <w:rFonts w:hint="eastAsia" w:ascii="仿宋_GB2312" w:hAnsi="宋体" w:eastAsia="仿宋_GB2312" w:cs="仿宋_GB2312"/>
          <w:color w:val="000000"/>
          <w:kern w:val="0"/>
          <w:sz w:val="32"/>
          <w:szCs w:val="32"/>
          <w:lang w:val="en-US" w:eastAsia="zh-CN" w:bidi="ar"/>
        </w:rPr>
        <w:t>天采收。</w:t>
      </w:r>
    </w:p>
    <w:p w14:paraId="3B4D07E5">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（五）质量特色</w:t>
      </w:r>
    </w:p>
    <w:p w14:paraId="00A51AA0">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default" w:ascii="方正仿宋_GBK" w:hAnsi="方正仿宋_GBK" w:eastAsia="方正仿宋_GBK" w:cs="方正仿宋_GBK"/>
          <w:b/>
          <w:bCs/>
          <w:color w:val="000000"/>
          <w:kern w:val="0"/>
          <w:sz w:val="32"/>
          <w:szCs w:val="32"/>
          <w:lang w:val="en-US" w:eastAsia="zh-CN" w:bidi="ar"/>
        </w:rPr>
        <w:t>1.</w:t>
      </w:r>
      <w:r>
        <w:rPr>
          <w:rFonts w:hint="eastAsia" w:ascii="方正仿宋_GBK" w:hAnsi="方正仿宋_GBK" w:eastAsia="方正仿宋_GBK" w:cs="方正仿宋_GBK"/>
          <w:b/>
          <w:bCs/>
          <w:color w:val="000000"/>
          <w:kern w:val="0"/>
          <w:sz w:val="32"/>
          <w:szCs w:val="32"/>
          <w:lang w:val="en-US" w:eastAsia="zh-CN" w:bidi="ar"/>
        </w:rPr>
        <w:t>感官特色。</w:t>
      </w:r>
      <w:r>
        <w:rPr>
          <w:rFonts w:hint="eastAsia" w:ascii="仿宋_GB2312" w:hAnsi="宋体" w:eastAsia="仿宋_GB2312" w:cs="仿宋_GB2312"/>
          <w:color w:val="000000"/>
          <w:kern w:val="0"/>
          <w:sz w:val="32"/>
          <w:szCs w:val="32"/>
          <w:lang w:val="en-US" w:eastAsia="zh-CN" w:bidi="ar"/>
        </w:rPr>
        <w:t>大埔蜜柚早熟，一般在中秋节前后上市，果大皮薄，平均单果重</w:t>
      </w:r>
      <w:r>
        <w:rPr>
          <w:rFonts w:hint="default" w:ascii="Times New Roman" w:hAnsi="Times New Roman" w:eastAsia="宋体" w:cs="Times New Roman"/>
          <w:color w:val="000000"/>
          <w:kern w:val="0"/>
          <w:sz w:val="32"/>
          <w:szCs w:val="32"/>
          <w:lang w:val="en-US" w:eastAsia="zh-CN" w:bidi="ar"/>
        </w:rPr>
        <w:t>1250</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1500g</w:t>
      </w:r>
      <w:r>
        <w:rPr>
          <w:rFonts w:hint="eastAsia" w:ascii="仿宋_GB2312" w:hAnsi="宋体" w:eastAsia="仿宋_GB2312" w:cs="仿宋_GB2312"/>
          <w:color w:val="000000"/>
          <w:kern w:val="0"/>
          <w:sz w:val="32"/>
          <w:szCs w:val="32"/>
          <w:lang w:val="en-US" w:eastAsia="zh-CN" w:bidi="ar"/>
        </w:rPr>
        <w:t>，果实呈梨形或倒卵形，果色表皮淡黄、光滑，商品性好。果肉多汁化渣，酸甜适中，有香蜜味，种子少或无。</w:t>
      </w:r>
    </w:p>
    <w:p w14:paraId="41CFB008">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default" w:ascii="方正仿宋_GBK" w:hAnsi="方正仿宋_GBK" w:eastAsia="方正仿宋_GBK" w:cs="方正仿宋_GBK"/>
          <w:b/>
          <w:bCs/>
          <w:color w:val="000000"/>
          <w:kern w:val="0"/>
          <w:sz w:val="32"/>
          <w:szCs w:val="32"/>
          <w:lang w:val="en-US" w:eastAsia="zh-CN" w:bidi="ar"/>
        </w:rPr>
        <w:t>2.</w:t>
      </w:r>
      <w:r>
        <w:rPr>
          <w:rFonts w:hint="eastAsia" w:ascii="方正仿宋_GBK" w:hAnsi="方正仿宋_GBK" w:eastAsia="方正仿宋_GBK" w:cs="方正仿宋_GBK"/>
          <w:b/>
          <w:bCs/>
          <w:color w:val="000000"/>
          <w:kern w:val="0"/>
          <w:sz w:val="32"/>
          <w:szCs w:val="32"/>
          <w:lang w:val="en-US" w:eastAsia="zh-CN" w:bidi="ar"/>
        </w:rPr>
        <w:t>理化指标。</w:t>
      </w:r>
      <w:r>
        <w:rPr>
          <w:rFonts w:hint="eastAsia" w:ascii="仿宋_GB2312" w:hAnsi="宋体" w:eastAsia="仿宋_GB2312" w:cs="仿宋_GB2312"/>
          <w:color w:val="000000"/>
          <w:kern w:val="0"/>
          <w:sz w:val="32"/>
          <w:szCs w:val="32"/>
          <w:lang w:val="en-US" w:eastAsia="zh-CN" w:bidi="ar"/>
        </w:rPr>
        <w:t>大埔蜜柚营养价值高，果汁中含总糖</w:t>
      </w:r>
      <w:r>
        <w:rPr>
          <w:rFonts w:hint="default" w:ascii="Times New Roman" w:hAnsi="Times New Roman" w:eastAsia="宋体" w:cs="Times New Roman"/>
          <w:color w:val="000000"/>
          <w:kern w:val="0"/>
          <w:sz w:val="32"/>
          <w:szCs w:val="32"/>
          <w:lang w:val="en-US" w:eastAsia="zh-CN" w:bidi="ar"/>
        </w:rPr>
        <w:t>8.5%</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12.3%</w:t>
      </w:r>
      <w:r>
        <w:rPr>
          <w:rFonts w:hint="eastAsia" w:ascii="仿宋_GB2312" w:hAnsi="宋体" w:eastAsia="仿宋_GB2312" w:cs="仿宋_GB2312"/>
          <w:color w:val="000000"/>
          <w:kern w:val="0"/>
          <w:sz w:val="32"/>
          <w:szCs w:val="32"/>
          <w:lang w:val="en-US" w:eastAsia="zh-CN" w:bidi="ar"/>
        </w:rPr>
        <w:t>，总酸每千克</w:t>
      </w:r>
      <w:r>
        <w:rPr>
          <w:rFonts w:hint="default" w:ascii="Times New Roman" w:hAnsi="Times New Roman" w:eastAsia="宋体" w:cs="Times New Roman"/>
          <w:color w:val="000000"/>
          <w:kern w:val="0"/>
          <w:sz w:val="32"/>
          <w:szCs w:val="32"/>
          <w:lang w:val="en-US" w:eastAsia="zh-CN" w:bidi="ar"/>
        </w:rPr>
        <w:t>3.2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5.35g</w:t>
      </w:r>
      <w:r>
        <w:rPr>
          <w:rFonts w:hint="eastAsia" w:ascii="仿宋_GB2312" w:hAnsi="宋体" w:eastAsia="仿宋_GB2312" w:cs="仿宋_GB2312"/>
          <w:color w:val="000000"/>
          <w:kern w:val="0"/>
          <w:sz w:val="32"/>
          <w:szCs w:val="32"/>
          <w:lang w:val="en-US" w:eastAsia="zh-CN" w:bidi="ar"/>
        </w:rPr>
        <w:t>，维生素</w:t>
      </w:r>
      <w:r>
        <w:rPr>
          <w:rFonts w:hint="default" w:ascii="Times New Roman" w:hAnsi="Times New Roman" w:eastAsia="宋体" w:cs="Times New Roman"/>
          <w:color w:val="000000"/>
          <w:kern w:val="0"/>
          <w:sz w:val="32"/>
          <w:szCs w:val="32"/>
          <w:lang w:val="en-US" w:eastAsia="zh-CN" w:bidi="ar"/>
        </w:rPr>
        <w:t>C</w:t>
      </w:r>
      <w:r>
        <w:rPr>
          <w:rFonts w:hint="eastAsia" w:ascii="仿宋_GB2312" w:hAnsi="宋体" w:eastAsia="仿宋_GB2312" w:cs="仿宋_GB2312"/>
          <w:color w:val="000000"/>
          <w:kern w:val="0"/>
          <w:sz w:val="32"/>
          <w:szCs w:val="32"/>
          <w:lang w:val="en-US" w:eastAsia="zh-CN" w:bidi="ar"/>
        </w:rPr>
        <w:t>每</w:t>
      </w:r>
      <w:r>
        <w:rPr>
          <w:rFonts w:hint="default" w:ascii="Times New Roman" w:hAnsi="Times New Roman" w:eastAsia="宋体" w:cs="Times New Roman"/>
          <w:color w:val="000000"/>
          <w:kern w:val="0"/>
          <w:sz w:val="32"/>
          <w:szCs w:val="32"/>
          <w:lang w:val="en-US" w:eastAsia="zh-CN" w:bidi="ar"/>
        </w:rPr>
        <w:t>100g</w:t>
      </w:r>
      <w:r>
        <w:rPr>
          <w:rFonts w:hint="eastAsia" w:ascii="仿宋_GB2312" w:hAnsi="宋体" w:eastAsia="仿宋_GB2312" w:cs="仿宋_GB2312"/>
          <w:color w:val="000000"/>
          <w:kern w:val="0"/>
          <w:sz w:val="32"/>
          <w:szCs w:val="32"/>
          <w:lang w:val="en-US" w:eastAsia="zh-CN" w:bidi="ar"/>
        </w:rPr>
        <w:t>含</w:t>
      </w:r>
      <w:r>
        <w:rPr>
          <w:rFonts w:hint="default" w:ascii="Times New Roman" w:hAnsi="Times New Roman" w:eastAsia="宋体" w:cs="Times New Roman"/>
          <w:color w:val="000000"/>
          <w:kern w:val="0"/>
          <w:sz w:val="32"/>
          <w:szCs w:val="32"/>
          <w:lang w:val="en-US" w:eastAsia="zh-CN" w:bidi="ar"/>
        </w:rPr>
        <w:t>48.93</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51.98mg</w:t>
      </w:r>
      <w:r>
        <w:rPr>
          <w:rFonts w:hint="eastAsia" w:ascii="仿宋_GB2312" w:hAnsi="宋体" w:eastAsia="仿宋_GB2312" w:cs="仿宋_GB2312"/>
          <w:color w:val="000000"/>
          <w:kern w:val="0"/>
          <w:sz w:val="32"/>
          <w:szCs w:val="32"/>
          <w:lang w:val="en-US" w:eastAsia="zh-CN" w:bidi="ar"/>
        </w:rPr>
        <w:t>，可溶性固形物</w:t>
      </w:r>
      <w:r>
        <w:rPr>
          <w:rFonts w:hint="default" w:ascii="Times New Roman" w:hAnsi="Times New Roman" w:eastAsia="宋体" w:cs="Times New Roman"/>
          <w:color w:val="000000"/>
          <w:kern w:val="0"/>
          <w:sz w:val="32"/>
          <w:szCs w:val="32"/>
          <w:lang w:val="en-US" w:eastAsia="zh-CN" w:bidi="ar"/>
        </w:rPr>
        <w:t>10.7%</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13.9%</w:t>
      </w:r>
      <w:r>
        <w:rPr>
          <w:rFonts w:hint="eastAsia" w:ascii="仿宋_GB2312" w:hAnsi="宋体" w:eastAsia="仿宋_GB2312" w:cs="仿宋_GB2312"/>
          <w:color w:val="000000"/>
          <w:kern w:val="0"/>
          <w:sz w:val="32"/>
          <w:szCs w:val="32"/>
          <w:lang w:val="en-US" w:eastAsia="zh-CN" w:bidi="ar"/>
        </w:rPr>
        <w:t>。</w:t>
      </w:r>
    </w:p>
    <w:p w14:paraId="77F54BC6">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default" w:ascii="方正仿宋_GBK" w:hAnsi="方正仿宋_GBK" w:eastAsia="方正仿宋_GBK" w:cs="方正仿宋_GBK"/>
          <w:b/>
          <w:bCs/>
          <w:color w:val="000000"/>
          <w:kern w:val="0"/>
          <w:sz w:val="32"/>
          <w:szCs w:val="32"/>
          <w:lang w:val="en-US" w:eastAsia="zh-CN" w:bidi="ar"/>
        </w:rPr>
        <w:t>3.</w:t>
      </w:r>
      <w:r>
        <w:rPr>
          <w:rFonts w:hint="eastAsia" w:ascii="方正仿宋_GBK" w:hAnsi="方正仿宋_GBK" w:eastAsia="方正仿宋_GBK" w:cs="方正仿宋_GBK"/>
          <w:b/>
          <w:bCs/>
          <w:color w:val="000000"/>
          <w:kern w:val="0"/>
          <w:sz w:val="32"/>
          <w:szCs w:val="32"/>
          <w:lang w:val="en-US" w:eastAsia="zh-CN" w:bidi="ar"/>
        </w:rPr>
        <w:t>安全及其他质量要求。</w:t>
      </w:r>
      <w:r>
        <w:rPr>
          <w:rFonts w:hint="eastAsia" w:ascii="仿宋_GB2312" w:hAnsi="宋体" w:eastAsia="仿宋_GB2312" w:cs="仿宋_GB2312"/>
          <w:color w:val="000000"/>
          <w:kern w:val="0"/>
          <w:sz w:val="32"/>
          <w:szCs w:val="32"/>
          <w:lang w:val="en-US" w:eastAsia="zh-CN" w:bidi="ar"/>
        </w:rPr>
        <w:t>产品安全及其他质量要求应符合国家相关规定。</w:t>
      </w:r>
    </w:p>
    <w:p w14:paraId="3330FEC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五、专用标志使用</w:t>
      </w:r>
    </w:p>
    <w:p w14:paraId="3542C18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方正小标宋_GBK" w:hAnsi="方正小标宋_GBK" w:eastAsia="方正小标宋_GBK" w:cs="方正小标宋_GBK"/>
          <w:sz w:val="32"/>
          <w:szCs w:val="32"/>
          <w:lang w:val="en-US" w:eastAsia="zh-CN"/>
        </w:rPr>
      </w:pPr>
      <w:r>
        <w:rPr>
          <w:rFonts w:hint="eastAsia" w:ascii="仿宋_GB2312" w:hAnsi="宋体" w:eastAsia="仿宋_GB2312" w:cs="仿宋_GB2312"/>
          <w:color w:val="000000"/>
          <w:kern w:val="0"/>
          <w:sz w:val="32"/>
          <w:szCs w:val="32"/>
          <w:lang w:val="en-US" w:eastAsia="zh-CN" w:bidi="ar"/>
        </w:rPr>
        <w:t>大埔蜜柚产地范围内的生产者，可向广东省梅州市大埔县知识产权管理部门提出使用“地理标志专用标志”的申请，经广东省知识产权局审核，报国家知识产权局核准后予以公告。大埔蜜柚的检测机构由广东省知识产权局在符合资质要求的检测机构中选定。</w:t>
      </w:r>
    </w:p>
    <w:p w14:paraId="286B72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方正小标宋_GBK" w:hAnsi="方正小标宋_GBK" w:eastAsia="方正小标宋_GBK" w:cs="方正小标宋_GBK"/>
          <w:sz w:val="32"/>
          <w:szCs w:val="32"/>
          <w:lang w:val="en-US" w:eastAsia="zh-CN"/>
        </w:rPr>
      </w:pPr>
    </w:p>
    <w:p w14:paraId="70BC0CDC">
      <w:bookmarkStart w:id="0" w:name="_GoBack"/>
      <w:bookmarkEnd w:id="0"/>
    </w:p>
    <w:sectPr>
      <w:pgSz w:w="11906" w:h="16838"/>
      <w:pgMar w:top="1440" w:right="1080" w:bottom="1440" w:left="1080" w:header="851" w:footer="992" w:gutter="0"/>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D478A"/>
    <w:rsid w:val="71AD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2025-04-15T07:53:00Z</dcterms:created>
  <dc:creator>WPS_1624931649</dc:creator>
  <cp:lastModifiedBy>WPS_1624931649</cp:lastModifiedBy>
  <dcterms:modified xsi:type="dcterms:W3CDTF">2025-04-15T07:53:13Z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66BA3DE4580542F488DCFF17097E27B6_11</vt:lpwstr>
  </property>
  <property fmtid="{D5CDD505-2E9C-101B-9397-08002B2CF9AE}" pid="4" name="KSOTemplateDocerSaveRecord">
    <vt:lpwstr>eyJoZGlkIjoiNTg1YTM1MDhlNzljNzM2MGMzMGI0YjdkOGUwODlmZjEiLCJ1c2VySWQiOiIxMjI1OTEwOTc3In0=</vt:lpwstr>
  </property>
</Properties>
</file>