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9E371">
      <w:pPr>
        <w:jc w:val="center"/>
        <w:rPr>
          <w:rFonts w:ascii="Times New Roman" w:hAnsi="Times New Roman" w:eastAsia="微软雅黑" w:cs="Times New Roman"/>
          <w:b/>
          <w:color w:val="auto"/>
          <w:sz w:val="32"/>
          <w:szCs w:val="32"/>
        </w:rPr>
      </w:pPr>
    </w:p>
    <w:p w14:paraId="11097940">
      <w:pPr>
        <w:jc w:val="center"/>
        <w:rPr>
          <w:rFonts w:ascii="Times New Roman" w:hAnsi="Times New Roman" w:eastAsia="微软雅黑" w:cs="Times New Roman"/>
          <w:b/>
          <w:color w:val="auto"/>
          <w:sz w:val="32"/>
          <w:szCs w:val="32"/>
        </w:rPr>
      </w:pPr>
    </w:p>
    <w:p w14:paraId="1F5F5EE4">
      <w:pPr>
        <w:keepNext w:val="0"/>
        <w:keepLines w:val="0"/>
        <w:pageBreakBefore w:val="0"/>
        <w:widowControl/>
        <w:tabs>
          <w:tab w:val="left" w:pos="3428"/>
        </w:tabs>
        <w:kinsoku w:val="0"/>
        <w:wordWrap/>
        <w:overflowPunct/>
        <w:topLinePunct w:val="0"/>
        <w:autoSpaceDE w:val="0"/>
        <w:autoSpaceDN w:val="0"/>
        <w:bidi w:val="0"/>
        <w:adjustRightInd w:val="0"/>
        <w:snapToGrid w:val="0"/>
        <w:spacing w:before="1" w:line="240" w:lineRule="auto"/>
        <w:jc w:val="center"/>
        <w:textAlignment w:val="baseline"/>
        <w:outlineLvl w:val="9"/>
        <w:rPr>
          <w:rFonts w:hint="eastAsia" w:ascii="微软雅黑" w:hAnsi="微软雅黑" w:eastAsia="微软雅黑" w:cs="微软雅黑"/>
          <w:snapToGrid w:val="0"/>
          <w:color w:val="auto"/>
          <w:spacing w:val="-6"/>
          <w:kern w:val="0"/>
          <w:sz w:val="48"/>
          <w:szCs w:val="48"/>
          <w:highlight w:val="none"/>
          <w:lang w:eastAsia="zh-CN"/>
          <w14:textOutline w14:w="6350" w14:cap="flat" w14:cmpd="sng">
            <w14:solidFill>
              <w14:srgbClr w14:val="000000"/>
            </w14:solidFill>
            <w14:prstDash w14:val="solid"/>
            <w14:miter w14:val="0"/>
          </w14:textOutline>
        </w:rPr>
      </w:pPr>
      <w:r>
        <w:rPr>
          <w:rFonts w:hint="eastAsia" w:ascii="微软雅黑" w:hAnsi="微软雅黑" w:eastAsia="微软雅黑" w:cs="微软雅黑"/>
          <w:snapToGrid w:val="0"/>
          <w:color w:val="auto"/>
          <w:spacing w:val="-6"/>
          <w:kern w:val="0"/>
          <w:sz w:val="48"/>
          <w:szCs w:val="48"/>
          <w:highlight w:val="none"/>
          <w:lang w:eastAsia="zh-CN"/>
          <w14:textOutline w14:w="6350" w14:cap="flat" w14:cmpd="sng">
            <w14:solidFill>
              <w14:srgbClr w14:val="000000"/>
            </w14:solidFill>
            <w14:prstDash w14:val="solid"/>
            <w14:miter w14:val="0"/>
          </w14:textOutline>
        </w:rPr>
        <w:t>大埔县第二自来水厂饮用水水源</w:t>
      </w:r>
    </w:p>
    <w:p w14:paraId="7139E7AD">
      <w:pPr>
        <w:keepNext w:val="0"/>
        <w:keepLines w:val="0"/>
        <w:pageBreakBefore w:val="0"/>
        <w:widowControl/>
        <w:tabs>
          <w:tab w:val="left" w:pos="3428"/>
        </w:tabs>
        <w:kinsoku w:val="0"/>
        <w:wordWrap/>
        <w:overflowPunct/>
        <w:topLinePunct w:val="0"/>
        <w:autoSpaceDE w:val="0"/>
        <w:autoSpaceDN w:val="0"/>
        <w:bidi w:val="0"/>
        <w:adjustRightInd w:val="0"/>
        <w:snapToGrid w:val="0"/>
        <w:spacing w:before="1" w:line="240" w:lineRule="auto"/>
        <w:jc w:val="center"/>
        <w:textAlignment w:val="baseline"/>
        <w:outlineLvl w:val="9"/>
        <w:rPr>
          <w:rFonts w:hint="eastAsia" w:ascii="微软雅黑" w:hAnsi="微软雅黑" w:eastAsia="微软雅黑" w:cs="微软雅黑"/>
          <w:snapToGrid w:val="0"/>
          <w:color w:val="auto"/>
          <w:spacing w:val="-6"/>
          <w:kern w:val="0"/>
          <w:sz w:val="48"/>
          <w:szCs w:val="48"/>
          <w:highlight w:val="none"/>
          <w:lang w:eastAsia="zh-CN"/>
          <w14:textOutline w14:w="6350" w14:cap="flat" w14:cmpd="sng">
            <w14:solidFill>
              <w14:srgbClr w14:val="000000"/>
            </w14:solidFill>
            <w14:prstDash w14:val="solid"/>
            <w14:miter w14:val="0"/>
          </w14:textOutline>
        </w:rPr>
      </w:pPr>
      <w:r>
        <w:rPr>
          <w:rFonts w:hint="eastAsia" w:ascii="微软雅黑" w:hAnsi="微软雅黑" w:eastAsia="微软雅黑" w:cs="微软雅黑"/>
          <w:snapToGrid w:val="0"/>
          <w:color w:val="auto"/>
          <w:spacing w:val="-6"/>
          <w:kern w:val="0"/>
          <w:sz w:val="48"/>
          <w:szCs w:val="48"/>
          <w:highlight w:val="none"/>
          <w:lang w:eastAsia="zh-CN"/>
          <w14:textOutline w14:w="6350" w14:cap="flat" w14:cmpd="sng">
            <w14:solidFill>
              <w14:srgbClr w14:val="000000"/>
            </w14:solidFill>
            <w14:prstDash w14:val="solid"/>
            <w14:miter w14:val="0"/>
          </w14:textOutline>
        </w:rPr>
        <w:t>保护区划分方案</w:t>
      </w:r>
    </w:p>
    <w:p w14:paraId="67503D2E">
      <w:pPr>
        <w:jc w:val="center"/>
        <w:rPr>
          <w:rFonts w:ascii="Times New Roman" w:hAnsi="Times New Roman" w:eastAsia="微软雅黑" w:cs="Times New Roman"/>
          <w:b/>
          <w:color w:val="auto"/>
          <w:sz w:val="32"/>
          <w:szCs w:val="32"/>
        </w:rPr>
      </w:pPr>
    </w:p>
    <w:p w14:paraId="48340BC9">
      <w:pPr>
        <w:pStyle w:val="7"/>
        <w:rPr>
          <w:rFonts w:ascii="Times New Roman" w:hAnsi="Times New Roman" w:eastAsia="微软雅黑" w:cs="Times New Roman"/>
          <w:b/>
          <w:color w:val="auto"/>
          <w:sz w:val="32"/>
          <w:szCs w:val="32"/>
        </w:rPr>
      </w:pPr>
    </w:p>
    <w:p w14:paraId="02A15EE2">
      <w:pPr>
        <w:pStyle w:val="7"/>
        <w:rPr>
          <w:rFonts w:ascii="Times New Roman" w:hAnsi="Times New Roman" w:eastAsia="微软雅黑" w:cs="Times New Roman"/>
          <w:b/>
          <w:color w:val="auto"/>
          <w:sz w:val="32"/>
          <w:szCs w:val="32"/>
        </w:rPr>
      </w:pPr>
    </w:p>
    <w:p w14:paraId="6688EEBA">
      <w:pPr>
        <w:jc w:val="center"/>
        <w:rPr>
          <w:rFonts w:ascii="Times New Roman" w:hAnsi="Times New Roman" w:eastAsia="微软雅黑" w:cs="Times New Roman"/>
          <w:b/>
          <w:color w:val="auto"/>
          <w:sz w:val="32"/>
          <w:szCs w:val="32"/>
        </w:rPr>
      </w:pPr>
    </w:p>
    <w:p w14:paraId="55506328">
      <w:pPr>
        <w:jc w:val="center"/>
        <w:rPr>
          <w:rFonts w:ascii="Times New Roman" w:hAnsi="Times New Roman" w:eastAsia="微软雅黑" w:cs="Times New Roman"/>
          <w:b/>
          <w:color w:val="auto"/>
          <w:sz w:val="32"/>
          <w:szCs w:val="32"/>
        </w:rPr>
      </w:pPr>
    </w:p>
    <w:p w14:paraId="7099FAAD">
      <w:pPr>
        <w:jc w:val="center"/>
        <w:rPr>
          <w:rFonts w:ascii="Times New Roman" w:hAnsi="Times New Roman" w:eastAsia="微软雅黑" w:cs="Times New Roman"/>
          <w:b/>
          <w:color w:val="auto"/>
          <w:sz w:val="32"/>
          <w:szCs w:val="32"/>
        </w:rPr>
      </w:pPr>
    </w:p>
    <w:p w14:paraId="7C6930B2">
      <w:pPr>
        <w:jc w:val="center"/>
        <w:rPr>
          <w:rFonts w:ascii="Times New Roman" w:hAnsi="Times New Roman" w:eastAsia="微软雅黑" w:cs="Times New Roman"/>
          <w:b/>
          <w:color w:val="auto"/>
          <w:sz w:val="32"/>
          <w:szCs w:val="32"/>
        </w:rPr>
      </w:pPr>
    </w:p>
    <w:p w14:paraId="1EE4240C">
      <w:pPr>
        <w:jc w:val="center"/>
        <w:rPr>
          <w:rFonts w:ascii="Times New Roman" w:hAnsi="Times New Roman" w:eastAsia="微软雅黑" w:cs="Times New Roman"/>
          <w:b/>
          <w:color w:val="auto"/>
          <w:sz w:val="32"/>
          <w:szCs w:val="32"/>
        </w:rPr>
      </w:pPr>
    </w:p>
    <w:p w14:paraId="5AB285B8">
      <w:pPr>
        <w:pStyle w:val="7"/>
        <w:rPr>
          <w:color w:val="auto"/>
        </w:rPr>
      </w:pPr>
    </w:p>
    <w:p w14:paraId="5C84A936">
      <w:pPr>
        <w:jc w:val="center"/>
        <w:rPr>
          <w:rFonts w:ascii="Times New Roman" w:hAnsi="Times New Roman" w:eastAsia="微软雅黑" w:cs="Times New Roman"/>
          <w:b/>
          <w:color w:val="auto"/>
          <w:sz w:val="32"/>
          <w:szCs w:val="32"/>
        </w:rPr>
      </w:pPr>
    </w:p>
    <w:p w14:paraId="68E937A9">
      <w:pPr>
        <w:jc w:val="center"/>
        <w:rPr>
          <w:rFonts w:ascii="Times New Roman" w:hAnsi="Times New Roman" w:eastAsia="微软雅黑" w:cs="Times New Roman"/>
          <w:b/>
          <w:color w:val="auto"/>
          <w:sz w:val="32"/>
          <w:szCs w:val="32"/>
        </w:rPr>
      </w:pPr>
    </w:p>
    <w:p w14:paraId="163FBA64">
      <w:pPr>
        <w:jc w:val="center"/>
        <w:rPr>
          <w:rFonts w:ascii="Times New Roman" w:hAnsi="Times New Roman" w:eastAsia="微软雅黑" w:cs="Times New Roman"/>
          <w:b/>
          <w:color w:val="auto"/>
          <w:sz w:val="32"/>
          <w:szCs w:val="32"/>
        </w:rPr>
      </w:pPr>
    </w:p>
    <w:p w14:paraId="6673CB2E">
      <w:pPr>
        <w:jc w:val="center"/>
        <w:rPr>
          <w:rFonts w:ascii="Times New Roman" w:hAnsi="Times New Roman" w:eastAsia="微软雅黑" w:cs="Times New Roman"/>
          <w:b/>
          <w:color w:val="auto"/>
          <w:sz w:val="32"/>
          <w:szCs w:val="32"/>
        </w:rPr>
      </w:pPr>
    </w:p>
    <w:p w14:paraId="7A971AAC">
      <w:pPr>
        <w:jc w:val="center"/>
        <w:rPr>
          <w:rFonts w:ascii="Times New Roman" w:hAnsi="Times New Roman" w:eastAsia="微软雅黑" w:cs="Times New Roman"/>
          <w:b/>
          <w:color w:val="auto"/>
          <w:sz w:val="32"/>
          <w:szCs w:val="32"/>
        </w:rPr>
      </w:pPr>
    </w:p>
    <w:p w14:paraId="3CA9DB2C">
      <w:pPr>
        <w:jc w:val="center"/>
        <w:rPr>
          <w:rFonts w:ascii="Times New Roman" w:hAnsi="Times New Roman" w:eastAsia="微软雅黑" w:cs="Times New Roman"/>
          <w:b/>
          <w:color w:val="auto"/>
          <w:sz w:val="32"/>
          <w:szCs w:val="32"/>
        </w:rPr>
      </w:pPr>
    </w:p>
    <w:p w14:paraId="196831F5">
      <w:pPr>
        <w:spacing w:line="360" w:lineRule="auto"/>
        <w:jc w:val="center"/>
        <w:rPr>
          <w:rFonts w:hint="eastAsia" w:ascii="微软雅黑" w:hAnsi="微软雅黑" w:eastAsia="微软雅黑" w:cs="微软雅黑"/>
          <w:b/>
          <w:bCs/>
          <w:snapToGrid w:val="0"/>
          <w:color w:val="auto"/>
          <w:kern w:val="0"/>
          <w:sz w:val="32"/>
          <w:szCs w:val="32"/>
          <w:highlight w:val="none"/>
          <w:lang w:eastAsia="zh-CN"/>
        </w:rPr>
      </w:pPr>
      <w:r>
        <w:rPr>
          <w:rFonts w:hint="eastAsia" w:ascii="微软雅黑" w:hAnsi="微软雅黑" w:eastAsia="微软雅黑" w:cs="微软雅黑"/>
          <w:b/>
          <w:bCs/>
          <w:color w:val="auto"/>
          <w:sz w:val="32"/>
          <w:szCs w:val="32"/>
          <w:highlight w:val="none"/>
          <w:lang w:eastAsia="zh-CN"/>
        </w:rPr>
        <w:t>委托单位：</w:t>
      </w:r>
      <w:r>
        <w:rPr>
          <w:rFonts w:hint="eastAsia" w:ascii="微软雅黑" w:hAnsi="微软雅黑" w:eastAsia="微软雅黑" w:cs="微软雅黑"/>
          <w:b/>
          <w:bCs/>
          <w:snapToGrid w:val="0"/>
          <w:color w:val="auto"/>
          <w:kern w:val="0"/>
          <w:sz w:val="32"/>
          <w:szCs w:val="32"/>
          <w:highlight w:val="none"/>
          <w:lang w:eastAsia="zh-CN"/>
        </w:rPr>
        <w:t>梅州市生态环境局大埔分局</w:t>
      </w:r>
    </w:p>
    <w:p w14:paraId="66892B11">
      <w:pPr>
        <w:spacing w:line="360" w:lineRule="auto"/>
        <w:jc w:val="center"/>
        <w:rPr>
          <w:rFonts w:hint="eastAsia" w:ascii="微软雅黑" w:hAnsi="微软雅黑" w:eastAsia="微软雅黑" w:cs="微软雅黑"/>
          <w:b/>
          <w:bCs/>
          <w:snapToGrid w:val="0"/>
          <w:color w:val="auto"/>
          <w:kern w:val="0"/>
          <w:sz w:val="32"/>
          <w:szCs w:val="32"/>
          <w:highlight w:val="none"/>
          <w:lang w:eastAsia="zh-CN"/>
        </w:rPr>
      </w:pPr>
      <w:r>
        <w:rPr>
          <w:rFonts w:hint="eastAsia" w:ascii="微软雅黑" w:hAnsi="微软雅黑" w:eastAsia="微软雅黑" w:cs="微软雅黑"/>
          <w:b/>
          <w:bCs/>
          <w:snapToGrid w:val="0"/>
          <w:color w:val="auto"/>
          <w:kern w:val="0"/>
          <w:sz w:val="32"/>
          <w:szCs w:val="32"/>
          <w:highlight w:val="none"/>
          <w:lang w:eastAsia="zh-CN"/>
        </w:rPr>
        <w:t>编制单位：深圳市宗兴环保科技有限公司</w:t>
      </w:r>
    </w:p>
    <w:p w14:paraId="5163478A">
      <w:pPr>
        <w:widowControl/>
        <w:kinsoku w:val="0"/>
        <w:autoSpaceDE w:val="0"/>
        <w:autoSpaceDN w:val="0"/>
        <w:adjustRightInd w:val="0"/>
        <w:snapToGrid w:val="0"/>
        <w:spacing w:line="360" w:lineRule="auto"/>
        <w:jc w:val="center"/>
        <w:textAlignment w:val="baseline"/>
        <w:rPr>
          <w:rFonts w:hint="eastAsia" w:ascii="微软雅黑" w:hAnsi="微软雅黑" w:eastAsia="微软雅黑" w:cs="微软雅黑"/>
          <w:b/>
          <w:bCs/>
          <w:snapToGrid w:val="0"/>
          <w:color w:val="auto"/>
          <w:kern w:val="0"/>
          <w:sz w:val="32"/>
          <w:szCs w:val="32"/>
          <w:lang w:eastAsia="zh-CN"/>
        </w:rPr>
        <w:sectPr>
          <w:pgSz w:w="11906" w:h="16838"/>
          <w:pgMar w:top="1440" w:right="1800" w:bottom="1440" w:left="1800" w:header="851" w:footer="992" w:gutter="0"/>
          <w:cols w:space="425" w:num="1"/>
          <w:docGrid w:type="lines" w:linePitch="312" w:charSpace="0"/>
        </w:sectPr>
      </w:pPr>
      <w:r>
        <w:rPr>
          <w:rFonts w:hint="eastAsia" w:ascii="微软雅黑" w:hAnsi="微软雅黑" w:eastAsia="微软雅黑" w:cs="微软雅黑"/>
          <w:b/>
          <w:bCs/>
          <w:snapToGrid w:val="0"/>
          <w:color w:val="auto"/>
          <w:kern w:val="0"/>
          <w:sz w:val="32"/>
          <w:szCs w:val="32"/>
          <w:lang w:eastAsia="zh-CN"/>
        </w:rPr>
        <w:t>202</w:t>
      </w:r>
      <w:r>
        <w:rPr>
          <w:rFonts w:hint="eastAsia" w:ascii="微软雅黑" w:hAnsi="微软雅黑" w:eastAsia="微软雅黑" w:cs="微软雅黑"/>
          <w:b/>
          <w:bCs/>
          <w:snapToGrid w:val="0"/>
          <w:color w:val="auto"/>
          <w:kern w:val="0"/>
          <w:sz w:val="32"/>
          <w:szCs w:val="32"/>
          <w:lang w:val="en-US" w:eastAsia="zh-CN"/>
        </w:rPr>
        <w:t>3</w:t>
      </w:r>
      <w:r>
        <w:rPr>
          <w:rFonts w:hint="eastAsia" w:ascii="微软雅黑" w:hAnsi="微软雅黑" w:eastAsia="微软雅黑" w:cs="微软雅黑"/>
          <w:b/>
          <w:bCs/>
          <w:snapToGrid w:val="0"/>
          <w:color w:val="auto"/>
          <w:kern w:val="0"/>
          <w:sz w:val="32"/>
          <w:szCs w:val="32"/>
          <w:lang w:eastAsia="zh-CN"/>
        </w:rPr>
        <w:t>年</w:t>
      </w:r>
      <w:r>
        <w:rPr>
          <w:rFonts w:hint="eastAsia" w:ascii="微软雅黑" w:hAnsi="微软雅黑" w:eastAsia="微软雅黑" w:cs="微软雅黑"/>
          <w:b/>
          <w:bCs/>
          <w:snapToGrid w:val="0"/>
          <w:color w:val="auto"/>
          <w:kern w:val="0"/>
          <w:sz w:val="32"/>
          <w:szCs w:val="32"/>
          <w:lang w:val="en-US" w:eastAsia="zh-CN"/>
        </w:rPr>
        <w:t>8</w:t>
      </w:r>
      <w:r>
        <w:rPr>
          <w:rFonts w:hint="eastAsia" w:ascii="微软雅黑" w:hAnsi="微软雅黑" w:eastAsia="微软雅黑" w:cs="微软雅黑"/>
          <w:b/>
          <w:bCs/>
          <w:snapToGrid w:val="0"/>
          <w:color w:val="auto"/>
          <w:kern w:val="0"/>
          <w:sz w:val="32"/>
          <w:szCs w:val="32"/>
          <w:lang w:eastAsia="zh-CN"/>
        </w:rPr>
        <w:t>月</w:t>
      </w:r>
    </w:p>
    <w:p w14:paraId="597C33CC">
      <w:pPr>
        <w:spacing w:line="360" w:lineRule="auto"/>
        <w:ind w:firstLine="640" w:firstLineChars="200"/>
        <w:rPr>
          <w:rFonts w:hint="eastAsia" w:ascii="仿宋" w:hAnsi="仿宋" w:eastAsia="仿宋" w:cs="Times New Roman"/>
          <w:color w:val="auto"/>
          <w:sz w:val="32"/>
          <w:szCs w:val="32"/>
          <w:lang w:eastAsia="zh-CN"/>
        </w:rPr>
      </w:pPr>
      <w:bookmarkStart w:id="0" w:name="_Hlk76833979"/>
      <w:r>
        <w:rPr>
          <w:rFonts w:ascii="仿宋" w:hAnsi="仿宋" w:eastAsia="仿宋" w:cs="Times New Roman"/>
          <w:color w:val="auto"/>
          <w:sz w:val="32"/>
          <w:szCs w:val="32"/>
        </w:rPr>
        <w:t>为落实党中央、国务院关于打好水源地保护攻坚战的决策部署，</w:t>
      </w:r>
      <w:r>
        <w:rPr>
          <w:rFonts w:hint="eastAsia" w:ascii="仿宋" w:hAnsi="仿宋" w:eastAsia="仿宋" w:cs="Times New Roman"/>
          <w:color w:val="auto"/>
          <w:sz w:val="32"/>
          <w:szCs w:val="32"/>
        </w:rPr>
        <w:t>加强</w:t>
      </w:r>
      <w:r>
        <w:rPr>
          <w:rFonts w:ascii="仿宋" w:hAnsi="仿宋" w:eastAsia="仿宋" w:cs="Times New Roman"/>
          <w:color w:val="auto"/>
          <w:sz w:val="32"/>
          <w:szCs w:val="32"/>
        </w:rPr>
        <w:t>饮用</w:t>
      </w:r>
      <w:r>
        <w:rPr>
          <w:rFonts w:hint="eastAsia" w:ascii="仿宋" w:hAnsi="仿宋" w:eastAsia="仿宋" w:cs="Times New Roman"/>
          <w:color w:val="auto"/>
          <w:sz w:val="32"/>
          <w:szCs w:val="32"/>
        </w:rPr>
        <w:t>水</w:t>
      </w:r>
      <w:r>
        <w:rPr>
          <w:rFonts w:ascii="仿宋" w:hAnsi="仿宋" w:eastAsia="仿宋" w:cs="Times New Roman"/>
          <w:color w:val="auto"/>
          <w:sz w:val="32"/>
          <w:szCs w:val="32"/>
        </w:rPr>
        <w:t>水源保护区的划定</w:t>
      </w:r>
      <w:r>
        <w:rPr>
          <w:rFonts w:hint="eastAsia" w:ascii="仿宋" w:hAnsi="仿宋" w:eastAsia="仿宋" w:cs="Times New Roman"/>
          <w:color w:val="auto"/>
          <w:sz w:val="32"/>
          <w:szCs w:val="32"/>
        </w:rPr>
        <w:t>和保护</w:t>
      </w:r>
      <w:r>
        <w:rPr>
          <w:rFonts w:hint="eastAsia" w:ascii="仿宋" w:hAnsi="仿宋" w:eastAsia="仿宋" w:cs="Times New Roman"/>
          <w:color w:val="auto"/>
          <w:sz w:val="32"/>
          <w:szCs w:val="32"/>
          <w:lang w:eastAsia="zh-CN"/>
        </w:rPr>
        <w:t>。</w:t>
      </w:r>
      <w:r>
        <w:rPr>
          <w:rFonts w:hint="eastAsia" w:ascii="仿宋" w:hAnsi="仿宋" w:eastAsia="仿宋" w:cs="Times New Roman"/>
          <w:color w:val="auto"/>
          <w:sz w:val="32"/>
          <w:szCs w:val="32"/>
        </w:rPr>
        <w:t>根据生态环境部《关于推进乡镇及以下集中式饮用水源地生态环境保护工作的指导意见》（环水体函〔2019〕92号）要求，</w:t>
      </w:r>
      <w:bookmarkEnd w:id="0"/>
      <w:r>
        <w:rPr>
          <w:rFonts w:hint="eastAsia" w:ascii="仿宋" w:hAnsi="仿宋" w:eastAsia="仿宋" w:cs="Times New Roman"/>
          <w:color w:val="auto"/>
          <w:sz w:val="32"/>
          <w:szCs w:val="32"/>
          <w:lang w:val="en-US" w:eastAsia="zh-CN"/>
        </w:rPr>
        <w:t>按照《中华人民共和国水污染防治法》、《广东省环境保护厅关于加强和规范饮用水水源保护区划分和优化调整工作的通知》(粤环函〔2018〕672号)等规定，大埔县人民政府</w:t>
      </w:r>
      <w:r>
        <w:rPr>
          <w:rFonts w:hint="eastAsia" w:ascii="仿宋" w:hAnsi="仿宋" w:eastAsia="仿宋" w:cs="Times New Roman"/>
          <w:color w:val="auto"/>
          <w:sz w:val="32"/>
          <w:szCs w:val="32"/>
        </w:rPr>
        <w:t>决定对</w:t>
      </w:r>
      <w:r>
        <w:rPr>
          <w:rFonts w:hint="eastAsia" w:ascii="仿宋" w:hAnsi="仿宋" w:eastAsia="仿宋" w:cs="Times New Roman"/>
          <w:color w:val="auto"/>
          <w:sz w:val="32"/>
          <w:szCs w:val="32"/>
          <w:lang w:eastAsia="zh-CN"/>
        </w:rPr>
        <w:t>大埔县第二自来水厂饮用水水源保护区</w:t>
      </w:r>
      <w:r>
        <w:rPr>
          <w:rFonts w:hint="eastAsia" w:ascii="仿宋" w:hAnsi="仿宋" w:eastAsia="仿宋" w:cs="Times New Roman"/>
          <w:color w:val="auto"/>
          <w:sz w:val="32"/>
          <w:szCs w:val="32"/>
        </w:rPr>
        <w:t>进行划定</w:t>
      </w:r>
      <w:r>
        <w:rPr>
          <w:rFonts w:hint="eastAsia" w:ascii="仿宋" w:hAnsi="仿宋" w:eastAsia="仿宋" w:cs="Times New Roman"/>
          <w:color w:val="auto"/>
          <w:sz w:val="32"/>
          <w:szCs w:val="32"/>
          <w:lang w:eastAsia="zh-CN"/>
        </w:rPr>
        <w:t>。</w:t>
      </w:r>
    </w:p>
    <w:p w14:paraId="0C46FD94">
      <w:pPr>
        <w:pStyle w:val="4"/>
        <w:ind w:firstLine="602"/>
        <w:rPr>
          <w:rFonts w:hAnsi="黑体" w:cs="Times New Roman"/>
          <w:b w:val="0"/>
          <w:bCs w:val="0"/>
          <w:color w:val="auto"/>
          <w:sz w:val="32"/>
          <w:szCs w:val="32"/>
        </w:rPr>
      </w:pPr>
      <w:r>
        <w:rPr>
          <w:rFonts w:hint="eastAsia" w:hAnsi="黑体" w:cs="Times New Roman"/>
          <w:b w:val="0"/>
          <w:bCs w:val="0"/>
          <w:color w:val="auto"/>
          <w:sz w:val="32"/>
          <w:szCs w:val="32"/>
        </w:rPr>
        <w:t>一、指导思想</w:t>
      </w:r>
    </w:p>
    <w:p w14:paraId="536CAEBD">
      <w:pPr>
        <w:spacing w:line="360" w:lineRule="auto"/>
        <w:ind w:firstLine="640" w:firstLineChars="200"/>
        <w:rPr>
          <w:rFonts w:ascii="仿宋" w:hAnsi="仿宋" w:eastAsia="仿宋" w:cs="Times New Roman"/>
          <w:color w:val="auto"/>
          <w:sz w:val="32"/>
          <w:szCs w:val="32"/>
        </w:rPr>
      </w:pPr>
      <w:r>
        <w:rPr>
          <w:rFonts w:ascii="仿宋" w:hAnsi="仿宋" w:eastAsia="仿宋" w:cs="Times New Roman"/>
          <w:color w:val="auto"/>
          <w:sz w:val="32"/>
          <w:szCs w:val="32"/>
        </w:rPr>
        <w:t>以习近平生态文明思想为核心，坚持以人为本、科学划定的原则，贯彻</w:t>
      </w:r>
      <w:r>
        <w:rPr>
          <w:rFonts w:hint="eastAsia" w:ascii="仿宋" w:hAnsi="仿宋" w:eastAsia="仿宋" w:cs="Times New Roman"/>
          <w:color w:val="auto"/>
          <w:sz w:val="32"/>
          <w:szCs w:val="32"/>
        </w:rPr>
        <w:t>人与自然和谐共生</w:t>
      </w:r>
      <w:r>
        <w:rPr>
          <w:rFonts w:ascii="仿宋" w:hAnsi="仿宋" w:eastAsia="仿宋" w:cs="Times New Roman"/>
          <w:color w:val="auto"/>
          <w:sz w:val="32"/>
          <w:szCs w:val="32"/>
        </w:rPr>
        <w:t>的理念，以保障饮用水源水质安全为目标，统筹考虑水源地所在区域社会经济发展与供水安全。因地制宜，防治并重，确保</w:t>
      </w:r>
      <w:r>
        <w:rPr>
          <w:rFonts w:hint="eastAsia" w:ascii="仿宋" w:hAnsi="仿宋" w:eastAsia="仿宋" w:cs="Times New Roman"/>
          <w:color w:val="auto"/>
          <w:sz w:val="32"/>
          <w:szCs w:val="32"/>
          <w:lang w:eastAsia="zh-CN"/>
        </w:rPr>
        <w:t>人民</w:t>
      </w:r>
      <w:r>
        <w:rPr>
          <w:rFonts w:ascii="仿宋" w:hAnsi="仿宋" w:eastAsia="仿宋" w:cs="Times New Roman"/>
          <w:color w:val="auto"/>
          <w:sz w:val="32"/>
          <w:szCs w:val="32"/>
        </w:rPr>
        <w:t>群众饮水安全。</w:t>
      </w:r>
    </w:p>
    <w:p w14:paraId="16421B11">
      <w:pPr>
        <w:pStyle w:val="4"/>
        <w:ind w:firstLine="602"/>
        <w:rPr>
          <w:rFonts w:hAnsi="黑体" w:cs="Times New Roman"/>
          <w:b w:val="0"/>
          <w:bCs w:val="0"/>
          <w:color w:val="auto"/>
          <w:sz w:val="32"/>
          <w:szCs w:val="32"/>
        </w:rPr>
      </w:pPr>
      <w:r>
        <w:rPr>
          <w:rFonts w:hint="eastAsia" w:hAnsi="黑体" w:cs="Times New Roman"/>
          <w:b w:val="0"/>
          <w:bCs w:val="0"/>
          <w:color w:val="auto"/>
          <w:sz w:val="32"/>
          <w:szCs w:val="32"/>
        </w:rPr>
        <w:t>二、划分原则</w:t>
      </w:r>
    </w:p>
    <w:p w14:paraId="0C383DBF">
      <w:pPr>
        <w:spacing w:line="360" w:lineRule="auto"/>
        <w:ind w:firstLine="640" w:firstLineChars="200"/>
        <w:rPr>
          <w:rFonts w:ascii="楷体" w:hAnsi="楷体" w:eastAsia="楷体" w:cs="Times New Roman"/>
          <w:color w:val="auto"/>
          <w:sz w:val="32"/>
          <w:szCs w:val="32"/>
        </w:rPr>
      </w:pPr>
      <w:r>
        <w:rPr>
          <w:rFonts w:hint="eastAsia" w:ascii="楷体" w:hAnsi="楷体" w:eastAsia="楷体" w:cs="Times New Roman"/>
          <w:color w:val="auto"/>
          <w:sz w:val="32"/>
          <w:szCs w:val="32"/>
        </w:rPr>
        <w:t>1.</w:t>
      </w:r>
      <w:r>
        <w:rPr>
          <w:rFonts w:ascii="楷体" w:hAnsi="楷体" w:eastAsia="楷体" w:cs="Times New Roman"/>
          <w:color w:val="auto"/>
          <w:sz w:val="32"/>
          <w:szCs w:val="32"/>
        </w:rPr>
        <w:t xml:space="preserve">统筹区划，因地制宜 </w:t>
      </w:r>
    </w:p>
    <w:p w14:paraId="4D8C2F95">
      <w:pPr>
        <w:spacing w:line="360" w:lineRule="auto"/>
        <w:ind w:firstLine="640" w:firstLineChars="200"/>
        <w:rPr>
          <w:rFonts w:ascii="仿宋" w:hAnsi="仿宋" w:eastAsia="仿宋" w:cs="Times New Roman"/>
          <w:color w:val="auto"/>
          <w:sz w:val="32"/>
          <w:szCs w:val="32"/>
        </w:rPr>
      </w:pPr>
      <w:r>
        <w:rPr>
          <w:rFonts w:ascii="仿宋" w:hAnsi="仿宋" w:eastAsia="仿宋" w:cs="Times New Roman"/>
          <w:color w:val="auto"/>
          <w:sz w:val="32"/>
          <w:szCs w:val="32"/>
        </w:rPr>
        <w:t>在全面调查饮用水水源基本情况和环境</w:t>
      </w:r>
      <w:bookmarkStart w:id="3" w:name="_GoBack"/>
      <w:bookmarkEnd w:id="3"/>
      <w:r>
        <w:rPr>
          <w:rFonts w:ascii="仿宋" w:hAnsi="仿宋" w:eastAsia="仿宋" w:cs="Times New Roman"/>
          <w:color w:val="auto"/>
          <w:sz w:val="32"/>
          <w:szCs w:val="32"/>
        </w:rPr>
        <w:t>状况的基础上，根据自然地理条件、水资源条件、经济水平和相关发展规划，分析现有饮用水</w:t>
      </w:r>
      <w:r>
        <w:rPr>
          <w:rFonts w:hint="eastAsia" w:ascii="仿宋" w:hAnsi="仿宋" w:eastAsia="仿宋" w:cs="Times New Roman"/>
          <w:color w:val="auto"/>
          <w:sz w:val="32"/>
          <w:szCs w:val="32"/>
          <w:lang w:eastAsia="zh-CN"/>
        </w:rPr>
        <w:t>水</w:t>
      </w:r>
      <w:r>
        <w:rPr>
          <w:rFonts w:ascii="仿宋" w:hAnsi="仿宋" w:eastAsia="仿宋" w:cs="Times New Roman"/>
          <w:color w:val="auto"/>
          <w:sz w:val="32"/>
          <w:szCs w:val="32"/>
        </w:rPr>
        <w:t>源地布局的合理性和饮用水水源水质安全存在的主要问题，把解决饮用水源安全问题，确保</w:t>
      </w:r>
      <w:r>
        <w:rPr>
          <w:rFonts w:hint="eastAsia" w:ascii="仿宋" w:hAnsi="仿宋" w:eastAsia="仿宋" w:cs="Times New Roman"/>
          <w:color w:val="auto"/>
          <w:sz w:val="32"/>
          <w:szCs w:val="32"/>
          <w:lang w:eastAsia="zh-CN"/>
        </w:rPr>
        <w:t>人民</w:t>
      </w:r>
      <w:r>
        <w:rPr>
          <w:rFonts w:ascii="仿宋" w:hAnsi="仿宋" w:eastAsia="仿宋" w:cs="Times New Roman"/>
          <w:color w:val="auto"/>
          <w:sz w:val="32"/>
          <w:szCs w:val="32"/>
        </w:rPr>
        <w:t xml:space="preserve">群众饮水安全作为重点。 </w:t>
      </w:r>
    </w:p>
    <w:p w14:paraId="4D0198C5">
      <w:pPr>
        <w:spacing w:line="360" w:lineRule="auto"/>
        <w:ind w:firstLine="640" w:firstLineChars="200"/>
        <w:rPr>
          <w:rFonts w:ascii="楷体" w:hAnsi="楷体" w:eastAsia="楷体" w:cs="Times New Roman"/>
          <w:color w:val="auto"/>
          <w:sz w:val="32"/>
          <w:szCs w:val="32"/>
        </w:rPr>
      </w:pPr>
      <w:r>
        <w:rPr>
          <w:rFonts w:hint="eastAsia" w:ascii="楷体" w:hAnsi="楷体" w:eastAsia="楷体" w:cs="Times New Roman"/>
          <w:color w:val="auto"/>
          <w:sz w:val="32"/>
          <w:szCs w:val="32"/>
        </w:rPr>
        <w:t>2.</w:t>
      </w:r>
      <w:r>
        <w:rPr>
          <w:rFonts w:ascii="楷体" w:hAnsi="楷体" w:eastAsia="楷体" w:cs="Times New Roman"/>
          <w:color w:val="auto"/>
          <w:sz w:val="32"/>
          <w:szCs w:val="32"/>
        </w:rPr>
        <w:t>科学划定，实用可行</w:t>
      </w:r>
    </w:p>
    <w:p w14:paraId="25234C5F">
      <w:pPr>
        <w:spacing w:line="360" w:lineRule="auto"/>
        <w:ind w:firstLine="640" w:firstLineChars="200"/>
        <w:rPr>
          <w:rFonts w:ascii="仿宋" w:hAnsi="仿宋" w:eastAsia="仿宋" w:cs="Times New Roman"/>
          <w:color w:val="auto"/>
          <w:sz w:val="32"/>
          <w:szCs w:val="32"/>
        </w:rPr>
      </w:pPr>
      <w:r>
        <w:rPr>
          <w:rFonts w:ascii="仿宋" w:hAnsi="仿宋" w:eastAsia="仿宋" w:cs="Times New Roman"/>
          <w:color w:val="auto"/>
          <w:sz w:val="32"/>
          <w:szCs w:val="32"/>
        </w:rPr>
        <w:t>以饮用水</w:t>
      </w:r>
      <w:r>
        <w:rPr>
          <w:rFonts w:hint="eastAsia" w:ascii="仿宋" w:hAnsi="仿宋" w:eastAsia="仿宋" w:cs="Times New Roman"/>
          <w:color w:val="auto"/>
          <w:sz w:val="32"/>
          <w:szCs w:val="32"/>
          <w:lang w:eastAsia="zh-CN"/>
        </w:rPr>
        <w:t>水</w:t>
      </w:r>
      <w:r>
        <w:rPr>
          <w:rFonts w:ascii="仿宋" w:hAnsi="仿宋" w:eastAsia="仿宋" w:cs="Times New Roman"/>
          <w:color w:val="auto"/>
          <w:sz w:val="32"/>
          <w:szCs w:val="32"/>
        </w:rPr>
        <w:t>源保护区划定技术规范和指引为向导，针对湖库型、河流型饮用水水源的特点，结合水源地实际情况，与流域水资源保护规划、供水规划、城镇总体规划及经济社会发展需要相协调，划定合理的饮用水水源保护区。划定方案力求明确简单，便于日常</w:t>
      </w:r>
      <w:r>
        <w:rPr>
          <w:rFonts w:hint="eastAsia" w:ascii="仿宋" w:hAnsi="仿宋" w:eastAsia="仿宋" w:cs="Times New Roman"/>
          <w:color w:val="auto"/>
          <w:sz w:val="32"/>
          <w:szCs w:val="32"/>
        </w:rPr>
        <w:t>维护</w:t>
      </w:r>
      <w:r>
        <w:rPr>
          <w:rFonts w:ascii="仿宋" w:hAnsi="仿宋" w:eastAsia="仿宋" w:cs="Times New Roman"/>
          <w:color w:val="auto"/>
          <w:sz w:val="32"/>
          <w:szCs w:val="32"/>
        </w:rPr>
        <w:t>监管工作的开展。</w:t>
      </w:r>
    </w:p>
    <w:p w14:paraId="5576CB5D">
      <w:pPr>
        <w:spacing w:line="360" w:lineRule="auto"/>
        <w:ind w:firstLine="640" w:firstLineChars="200"/>
        <w:rPr>
          <w:rFonts w:ascii="楷体" w:hAnsi="楷体" w:eastAsia="楷体" w:cs="Times New Roman"/>
          <w:color w:val="auto"/>
          <w:sz w:val="32"/>
          <w:szCs w:val="32"/>
        </w:rPr>
      </w:pPr>
      <w:r>
        <w:rPr>
          <w:rFonts w:hint="eastAsia" w:ascii="楷体" w:hAnsi="楷体" w:eastAsia="楷体" w:cs="Times New Roman"/>
          <w:color w:val="auto"/>
          <w:sz w:val="32"/>
          <w:szCs w:val="32"/>
        </w:rPr>
        <w:t>3.</w:t>
      </w:r>
      <w:r>
        <w:rPr>
          <w:rFonts w:ascii="楷体" w:hAnsi="楷体" w:eastAsia="楷体" w:cs="Times New Roman"/>
          <w:color w:val="auto"/>
          <w:sz w:val="32"/>
          <w:szCs w:val="32"/>
        </w:rPr>
        <w:t>防治并重，强化管理</w:t>
      </w:r>
    </w:p>
    <w:p w14:paraId="65679A1D">
      <w:pPr>
        <w:spacing w:line="360" w:lineRule="auto"/>
        <w:ind w:firstLine="640" w:firstLineChars="200"/>
        <w:rPr>
          <w:rFonts w:ascii="仿宋" w:hAnsi="仿宋" w:eastAsia="仿宋" w:cs="Times New Roman"/>
          <w:color w:val="auto"/>
          <w:sz w:val="32"/>
          <w:szCs w:val="32"/>
        </w:rPr>
      </w:pPr>
      <w:r>
        <w:rPr>
          <w:rFonts w:ascii="仿宋" w:hAnsi="仿宋" w:eastAsia="仿宋" w:cs="Times New Roman"/>
          <w:color w:val="auto"/>
          <w:sz w:val="32"/>
          <w:szCs w:val="32"/>
        </w:rPr>
        <w:t>围绕饮用水水源保护区风险防范和综合治理并重的原则，明确水源保护区规范化建设、监督、管理的具体目标和任务，综合利用法律、行政、技术等手段，加强饮用水水源保护区的监督管理。</w:t>
      </w:r>
    </w:p>
    <w:p w14:paraId="289B4EF6">
      <w:pPr>
        <w:spacing w:line="360" w:lineRule="auto"/>
        <w:ind w:firstLine="640" w:firstLineChars="200"/>
        <w:rPr>
          <w:rFonts w:hint="eastAsia" w:ascii="黑体" w:hAnsi="黑体" w:eastAsia="黑体" w:cs="Times New Roman"/>
          <w:b w:val="0"/>
          <w:bCs w:val="0"/>
          <w:color w:val="auto"/>
          <w:kern w:val="2"/>
          <w:sz w:val="32"/>
          <w:szCs w:val="32"/>
          <w:lang w:val="en-US" w:eastAsia="zh-CN" w:bidi="ar-SA"/>
        </w:rPr>
      </w:pPr>
      <w:r>
        <w:rPr>
          <w:rFonts w:hint="eastAsia" w:ascii="黑体" w:hAnsi="黑体" w:eastAsia="黑体" w:cs="Times New Roman"/>
          <w:b w:val="0"/>
          <w:bCs w:val="0"/>
          <w:color w:val="auto"/>
          <w:kern w:val="2"/>
          <w:sz w:val="32"/>
          <w:szCs w:val="32"/>
          <w:lang w:val="en-US" w:eastAsia="zh-CN" w:bidi="ar-SA"/>
        </w:rPr>
        <w:t>三、划定范围</w:t>
      </w:r>
    </w:p>
    <w:p w14:paraId="21B123DC">
      <w:pPr>
        <w:spacing w:line="360" w:lineRule="auto"/>
        <w:ind w:firstLine="640" w:firstLineChars="200"/>
        <w:rPr>
          <w:rFonts w:hint="eastAsia" w:ascii="仿宋" w:hAnsi="仿宋" w:eastAsia="仿宋" w:cs="Times New Roman"/>
          <w:color w:val="auto"/>
          <w:sz w:val="32"/>
          <w:szCs w:val="32"/>
          <w:lang w:val="en-US" w:eastAsia="zh-CN"/>
        </w:rPr>
      </w:pPr>
      <w:r>
        <w:rPr>
          <w:rFonts w:ascii="仿宋" w:hAnsi="仿宋" w:eastAsia="仿宋" w:cs="Times New Roman"/>
          <w:color w:val="auto"/>
          <w:sz w:val="32"/>
          <w:szCs w:val="32"/>
        </w:rPr>
        <w:t>拟</w:t>
      </w:r>
      <w:r>
        <w:rPr>
          <w:rFonts w:hint="eastAsia" w:ascii="仿宋" w:hAnsi="仿宋" w:eastAsia="仿宋" w:cs="Times New Roman"/>
          <w:color w:val="auto"/>
          <w:sz w:val="32"/>
          <w:szCs w:val="32"/>
          <w:lang w:val="en-US" w:eastAsia="zh-CN"/>
        </w:rPr>
        <w:t>划定大埔县第二自来水厂饮用水水源保护区</w:t>
      </w:r>
      <w:bookmarkStart w:id="1" w:name="OLE_LINK5"/>
      <w:r>
        <w:rPr>
          <w:rFonts w:hint="eastAsia" w:ascii="仿宋" w:hAnsi="仿宋" w:eastAsia="仿宋" w:cs="Times New Roman"/>
          <w:color w:val="auto"/>
          <w:sz w:val="32"/>
          <w:szCs w:val="32"/>
          <w:lang w:val="en-US" w:eastAsia="zh-CN"/>
        </w:rPr>
        <w:t>取水口位于</w:t>
      </w:r>
      <w:bookmarkEnd w:id="1"/>
      <w:r>
        <w:rPr>
          <w:rFonts w:hint="eastAsia" w:ascii="仿宋" w:hAnsi="仿宋" w:eastAsia="仿宋" w:cs="Times New Roman"/>
          <w:color w:val="auto"/>
          <w:sz w:val="32"/>
          <w:szCs w:val="32"/>
          <w:lang w:val="en-US" w:eastAsia="zh-CN"/>
        </w:rPr>
        <w:t>大埔县</w:t>
      </w:r>
      <w:r>
        <w:rPr>
          <w:rFonts w:hint="default" w:ascii="仿宋" w:hAnsi="仿宋" w:eastAsia="仿宋" w:cs="Times New Roman"/>
          <w:color w:val="auto"/>
          <w:sz w:val="32"/>
          <w:szCs w:val="32"/>
          <w:lang w:val="en-US" w:eastAsia="zh-CN"/>
        </w:rPr>
        <w:t>茶阳镇汀江沿坑段左岸、（地理坐标：E116.614396°，N24.424211°）</w:t>
      </w:r>
      <w:r>
        <w:rPr>
          <w:rFonts w:hint="eastAsia" w:ascii="仿宋" w:hAnsi="仿宋" w:eastAsia="仿宋" w:cs="Times New Roman"/>
          <w:color w:val="auto"/>
          <w:sz w:val="32"/>
          <w:szCs w:val="32"/>
          <w:lang w:val="en-US" w:eastAsia="zh-CN"/>
        </w:rPr>
        <w:t>。</w:t>
      </w:r>
    </w:p>
    <w:p w14:paraId="7F02AA10">
      <w:pPr>
        <w:spacing w:line="360" w:lineRule="auto"/>
        <w:ind w:firstLine="640" w:firstLineChars="200"/>
        <w:rPr>
          <w:rFonts w:hint="eastAsia" w:ascii="仿宋" w:hAnsi="仿宋" w:eastAsia="仿宋" w:cs="Times New Roman"/>
          <w:color w:val="auto"/>
          <w:sz w:val="32"/>
          <w:szCs w:val="32"/>
          <w:lang w:val="en-US" w:eastAsia="zh-CN"/>
        </w:rPr>
      </w:pPr>
      <w:r>
        <w:rPr>
          <w:rFonts w:hint="eastAsia" w:ascii="仿宋" w:hAnsi="仿宋" w:eastAsia="仿宋" w:cs="Times New Roman"/>
          <w:color w:val="auto"/>
          <w:sz w:val="32"/>
          <w:szCs w:val="32"/>
          <w:lang w:val="en-US" w:eastAsia="zh-CN"/>
        </w:rPr>
        <w:t>一级保护区水域：</w:t>
      </w:r>
      <w:r>
        <w:rPr>
          <w:rFonts w:hint="default" w:ascii="仿宋" w:hAnsi="仿宋" w:eastAsia="仿宋" w:cs="Times New Roman"/>
          <w:color w:val="auto"/>
          <w:sz w:val="32"/>
          <w:szCs w:val="32"/>
          <w:lang w:val="en-US" w:eastAsia="zh-CN"/>
        </w:rPr>
        <w:t>取水口上游1000米，取水口下游100米的多年平均水位对应的高程线以下的河道范围（航道除外）</w:t>
      </w:r>
      <w:r>
        <w:rPr>
          <w:rFonts w:hint="eastAsia" w:ascii="仿宋" w:hAnsi="仿宋" w:eastAsia="仿宋" w:cs="Times New Roman"/>
          <w:color w:val="auto"/>
          <w:sz w:val="32"/>
          <w:szCs w:val="32"/>
          <w:lang w:val="en-US" w:eastAsia="zh-CN"/>
        </w:rPr>
        <w:t>。</w:t>
      </w:r>
    </w:p>
    <w:p w14:paraId="39804354">
      <w:pPr>
        <w:spacing w:line="360" w:lineRule="auto"/>
        <w:ind w:firstLine="640" w:firstLineChars="200"/>
        <w:rPr>
          <w:rFonts w:hint="eastAsia" w:ascii="仿宋" w:hAnsi="仿宋" w:eastAsia="仿宋" w:cs="Times New Roman"/>
          <w:color w:val="auto"/>
          <w:sz w:val="32"/>
          <w:szCs w:val="32"/>
          <w:lang w:val="en-US" w:eastAsia="zh-CN"/>
        </w:rPr>
      </w:pPr>
      <w:r>
        <w:rPr>
          <w:rFonts w:hint="eastAsia" w:ascii="仿宋" w:hAnsi="仿宋" w:eastAsia="仿宋" w:cs="Times New Roman"/>
          <w:color w:val="auto"/>
          <w:sz w:val="32"/>
          <w:szCs w:val="32"/>
          <w:lang w:val="en-US" w:eastAsia="zh-CN"/>
        </w:rPr>
        <w:t>一级保护区陆域：</w:t>
      </w:r>
      <w:r>
        <w:rPr>
          <w:rFonts w:hint="default" w:ascii="仿宋" w:hAnsi="仿宋" w:eastAsia="仿宋" w:cs="Times New Roman"/>
          <w:color w:val="auto"/>
          <w:sz w:val="32"/>
          <w:szCs w:val="32"/>
          <w:lang w:val="en-US" w:eastAsia="zh-CN"/>
        </w:rPr>
        <w:t>相应一级保护区水域两岸向陆纵深50米的陆域，但不超过县道X961、乡道Y123临水一侧坡面陆域。</w:t>
      </w:r>
    </w:p>
    <w:p w14:paraId="34DF5922">
      <w:pPr>
        <w:spacing w:line="360" w:lineRule="auto"/>
        <w:ind w:firstLine="640" w:firstLineChars="200"/>
        <w:rPr>
          <w:rFonts w:hint="eastAsia" w:ascii="仿宋" w:hAnsi="仿宋" w:eastAsia="仿宋" w:cs="Times New Roman"/>
          <w:color w:val="auto"/>
          <w:sz w:val="32"/>
          <w:szCs w:val="32"/>
          <w:lang w:val="en-US" w:eastAsia="zh-CN"/>
        </w:rPr>
      </w:pPr>
      <w:r>
        <w:rPr>
          <w:rFonts w:hint="eastAsia" w:ascii="仿宋" w:hAnsi="仿宋" w:eastAsia="仿宋" w:cs="Times New Roman"/>
          <w:color w:val="auto"/>
          <w:sz w:val="32"/>
          <w:szCs w:val="32"/>
          <w:lang w:val="en-US" w:eastAsia="zh-CN"/>
        </w:rPr>
        <w:t>二级保护区水域：</w:t>
      </w:r>
      <w:r>
        <w:rPr>
          <w:rFonts w:hint="default" w:ascii="仿宋" w:hAnsi="仿宋" w:eastAsia="仿宋" w:cs="Times New Roman"/>
          <w:color w:val="auto"/>
          <w:sz w:val="32"/>
          <w:szCs w:val="32"/>
          <w:lang w:val="en-US" w:eastAsia="zh-CN"/>
        </w:rPr>
        <w:t>取水口上游3000米，取水口下游300米的多年平均水位对应的高程线以下的河道范围（一级保护区及航道除外）。</w:t>
      </w:r>
    </w:p>
    <w:p w14:paraId="37BC484B">
      <w:pPr>
        <w:spacing w:line="360" w:lineRule="auto"/>
        <w:ind w:firstLine="640" w:firstLineChars="200"/>
        <w:rPr>
          <w:rFonts w:hint="eastAsia" w:ascii="仿宋" w:hAnsi="仿宋" w:eastAsia="仿宋" w:cs="Times New Roman"/>
          <w:color w:val="auto"/>
          <w:sz w:val="32"/>
          <w:szCs w:val="32"/>
          <w:lang w:val="en-US" w:eastAsia="zh-CN"/>
        </w:rPr>
      </w:pPr>
      <w:r>
        <w:rPr>
          <w:rFonts w:hint="eastAsia" w:ascii="仿宋" w:hAnsi="仿宋" w:eastAsia="仿宋" w:cs="Times New Roman"/>
          <w:color w:val="auto"/>
          <w:sz w:val="32"/>
          <w:szCs w:val="32"/>
          <w:lang w:val="en-US" w:eastAsia="zh-CN"/>
        </w:rPr>
        <w:t>二级保护区陆域：</w:t>
      </w:r>
      <w:r>
        <w:rPr>
          <w:rFonts w:hint="default" w:ascii="仿宋" w:hAnsi="仿宋" w:eastAsia="仿宋" w:cs="Times New Roman"/>
          <w:color w:val="auto"/>
          <w:sz w:val="32"/>
          <w:szCs w:val="32"/>
          <w:lang w:val="en-US" w:eastAsia="zh-CN"/>
        </w:rPr>
        <w:t>相应一级保护区陆域和二级保护区水域两岸向陆纵深</w:t>
      </w:r>
      <w:r>
        <w:rPr>
          <w:rFonts w:hint="eastAsia" w:ascii="仿宋" w:hAnsi="仿宋" w:eastAsia="仿宋" w:cs="Times New Roman"/>
          <w:color w:val="auto"/>
          <w:sz w:val="32"/>
          <w:szCs w:val="32"/>
          <w:lang w:val="en-US" w:eastAsia="zh-CN"/>
        </w:rPr>
        <w:t>1000米，但不超过流域分水岭范围</w:t>
      </w:r>
      <w:r>
        <w:rPr>
          <w:rFonts w:hint="default" w:ascii="仿宋" w:hAnsi="仿宋" w:eastAsia="仿宋" w:cs="Times New Roman"/>
          <w:color w:val="auto"/>
          <w:sz w:val="32"/>
          <w:szCs w:val="32"/>
          <w:lang w:val="en-US" w:eastAsia="zh-CN"/>
        </w:rPr>
        <w:t>。</w:t>
      </w:r>
    </w:p>
    <w:p w14:paraId="183FE86B">
      <w:pPr>
        <w:pStyle w:val="4"/>
        <w:ind w:left="0" w:leftChars="0" w:firstLine="640" w:firstLineChars="200"/>
        <w:rPr>
          <w:rFonts w:hAnsi="黑体" w:cs="Times New Roman"/>
          <w:b w:val="0"/>
          <w:bCs w:val="0"/>
          <w:color w:val="auto"/>
          <w:sz w:val="32"/>
          <w:szCs w:val="32"/>
        </w:rPr>
      </w:pPr>
      <w:r>
        <w:rPr>
          <w:rFonts w:hint="eastAsia" w:hAnsi="黑体" w:cs="Times New Roman"/>
          <w:b w:val="0"/>
          <w:bCs w:val="0"/>
          <w:color w:val="auto"/>
          <w:sz w:val="32"/>
          <w:szCs w:val="32"/>
          <w:lang w:eastAsia="zh-CN"/>
        </w:rPr>
        <w:t>四</w:t>
      </w:r>
      <w:r>
        <w:rPr>
          <w:rFonts w:hint="eastAsia" w:hAnsi="黑体" w:cs="Times New Roman"/>
          <w:b w:val="0"/>
          <w:bCs w:val="0"/>
          <w:color w:val="auto"/>
          <w:sz w:val="32"/>
          <w:szCs w:val="32"/>
        </w:rPr>
        <w:t>、划定方案</w:t>
      </w:r>
    </w:p>
    <w:p w14:paraId="40234D51">
      <w:pPr>
        <w:spacing w:line="360" w:lineRule="auto"/>
        <w:ind w:firstLine="640" w:firstLineChars="200"/>
        <w:rPr>
          <w:rFonts w:hint="eastAsia" w:ascii="仿宋" w:hAnsi="仿宋" w:eastAsia="仿宋" w:cs="Times New Roman"/>
          <w:color w:val="auto"/>
          <w:sz w:val="32"/>
          <w:szCs w:val="32"/>
          <w:lang w:eastAsia="zh-CN"/>
        </w:rPr>
      </w:pPr>
      <w:r>
        <w:rPr>
          <w:rFonts w:ascii="仿宋" w:hAnsi="仿宋" w:eastAsia="仿宋" w:cs="Times New Roman"/>
          <w:color w:val="auto"/>
          <w:sz w:val="32"/>
          <w:szCs w:val="32"/>
        </w:rPr>
        <w:t>针对</w:t>
      </w:r>
      <w:bookmarkStart w:id="2" w:name="OLE_LINK1"/>
      <w:r>
        <w:rPr>
          <w:rFonts w:ascii="仿宋" w:hAnsi="仿宋" w:eastAsia="仿宋" w:cs="Times New Roman"/>
          <w:color w:val="auto"/>
          <w:sz w:val="32"/>
          <w:szCs w:val="32"/>
        </w:rPr>
        <w:t>拟</w:t>
      </w:r>
      <w:bookmarkEnd w:id="2"/>
      <w:r>
        <w:rPr>
          <w:rFonts w:ascii="仿宋" w:hAnsi="仿宋" w:eastAsia="仿宋" w:cs="Times New Roman"/>
          <w:color w:val="auto"/>
          <w:sz w:val="32"/>
          <w:szCs w:val="32"/>
        </w:rPr>
        <w:t>划定</w:t>
      </w:r>
      <w:r>
        <w:rPr>
          <w:rFonts w:hint="eastAsia" w:ascii="仿宋" w:hAnsi="仿宋" w:eastAsia="仿宋" w:cs="Times New Roman"/>
          <w:color w:val="auto"/>
          <w:sz w:val="32"/>
          <w:szCs w:val="32"/>
          <w:lang w:eastAsia="zh-CN"/>
        </w:rPr>
        <w:t>饮用水</w:t>
      </w:r>
      <w:r>
        <w:rPr>
          <w:rFonts w:ascii="仿宋" w:hAnsi="仿宋" w:eastAsia="仿宋" w:cs="Times New Roman"/>
          <w:color w:val="auto"/>
          <w:sz w:val="32"/>
          <w:szCs w:val="32"/>
        </w:rPr>
        <w:t>水源地实际情况，结合相关划定原则和技术方法，拟划定</w:t>
      </w:r>
      <w:r>
        <w:rPr>
          <w:rFonts w:hint="eastAsia" w:ascii="仿宋" w:hAnsi="仿宋" w:eastAsia="仿宋" w:cs="Times New Roman"/>
          <w:color w:val="auto"/>
          <w:sz w:val="32"/>
          <w:szCs w:val="32"/>
        </w:rPr>
        <w:t>饮用水</w:t>
      </w:r>
      <w:r>
        <w:rPr>
          <w:rFonts w:ascii="仿宋" w:hAnsi="仿宋" w:eastAsia="仿宋" w:cs="Times New Roman"/>
          <w:color w:val="auto"/>
          <w:sz w:val="32"/>
          <w:szCs w:val="32"/>
        </w:rPr>
        <w:t>水源保护区方案详见</w:t>
      </w:r>
      <w:r>
        <w:rPr>
          <w:rFonts w:hint="eastAsia" w:ascii="仿宋" w:hAnsi="仿宋" w:eastAsia="仿宋" w:cs="Times New Roman"/>
          <w:color w:val="auto"/>
          <w:sz w:val="32"/>
          <w:szCs w:val="32"/>
          <w:lang w:eastAsia="zh-CN"/>
        </w:rPr>
        <w:t>下</w:t>
      </w:r>
      <w:r>
        <w:rPr>
          <w:rFonts w:ascii="仿宋" w:hAnsi="仿宋" w:eastAsia="仿宋" w:cs="Times New Roman"/>
          <w:color w:val="auto"/>
          <w:sz w:val="32"/>
          <w:szCs w:val="32"/>
        </w:rPr>
        <w:t>表</w:t>
      </w:r>
      <w:r>
        <w:rPr>
          <w:rFonts w:hint="eastAsia" w:ascii="仿宋" w:hAnsi="仿宋" w:eastAsia="仿宋" w:cs="Times New Roman"/>
          <w:color w:val="auto"/>
          <w:sz w:val="32"/>
          <w:szCs w:val="32"/>
          <w:lang w:eastAsia="zh-CN"/>
        </w:rPr>
        <w:t>，</w:t>
      </w:r>
      <w:r>
        <w:rPr>
          <w:rFonts w:hint="eastAsia" w:ascii="仿宋" w:hAnsi="仿宋" w:eastAsia="仿宋" w:cs="Times New Roman"/>
          <w:color w:val="auto"/>
          <w:sz w:val="32"/>
          <w:szCs w:val="32"/>
        </w:rPr>
        <w:t>饮用水</w:t>
      </w:r>
      <w:r>
        <w:rPr>
          <w:rFonts w:ascii="仿宋" w:hAnsi="仿宋" w:eastAsia="仿宋" w:cs="Times New Roman"/>
          <w:color w:val="auto"/>
          <w:sz w:val="32"/>
          <w:szCs w:val="32"/>
        </w:rPr>
        <w:t>水源保护区</w:t>
      </w:r>
      <w:r>
        <w:rPr>
          <w:rFonts w:hint="eastAsia" w:ascii="仿宋" w:hAnsi="仿宋" w:eastAsia="仿宋" w:cs="Times New Roman"/>
          <w:color w:val="auto"/>
          <w:sz w:val="32"/>
          <w:szCs w:val="32"/>
          <w:lang w:eastAsia="zh-CN"/>
        </w:rPr>
        <w:t>划图见附图。</w:t>
      </w:r>
    </w:p>
    <w:p w14:paraId="2B9B555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3"/>
        <w:rPr>
          <w:rFonts w:hint="eastAsia" w:ascii="Times New Roman" w:hAnsi="Times New Roman" w:eastAsia="黑体"/>
          <w:color w:val="auto"/>
          <w:sz w:val="32"/>
          <w:lang w:eastAsia="zh-CN"/>
        </w:rPr>
      </w:pPr>
    </w:p>
    <w:p w14:paraId="6DFE06A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3"/>
        <w:rPr>
          <w:rFonts w:hint="eastAsia" w:ascii="Times New Roman" w:hAnsi="Times New Roman" w:eastAsia="黑体"/>
          <w:color w:val="auto"/>
          <w:sz w:val="32"/>
          <w:lang w:eastAsia="zh-CN"/>
        </w:rPr>
      </w:pPr>
    </w:p>
    <w:p w14:paraId="0E2E19E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3"/>
        <w:rPr>
          <w:rFonts w:hint="eastAsia" w:ascii="Times New Roman" w:hAnsi="Times New Roman" w:eastAsia="黑体"/>
          <w:color w:val="auto"/>
          <w:sz w:val="32"/>
          <w:lang w:eastAsia="zh-CN"/>
        </w:rPr>
        <w:sectPr>
          <w:footerReference r:id="rId3" w:type="default"/>
          <w:pgSz w:w="11906" w:h="16838"/>
          <w:pgMar w:top="1083" w:right="1083" w:bottom="1083" w:left="1083" w:header="851" w:footer="992" w:gutter="0"/>
          <w:pgNumType w:fmt="decimal"/>
          <w:cols w:space="425" w:num="1"/>
          <w:docGrid w:type="lines" w:linePitch="312" w:charSpace="0"/>
        </w:sectPr>
      </w:pPr>
    </w:p>
    <w:p w14:paraId="5108F34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3"/>
        <w:rPr>
          <w:rFonts w:ascii="Times New Roman" w:hAnsi="Times New Roman" w:eastAsia="黑体"/>
          <w:color w:val="auto"/>
          <w:sz w:val="32"/>
        </w:rPr>
      </w:pPr>
      <w:r>
        <w:rPr>
          <w:rFonts w:hint="eastAsia" w:ascii="黑体" w:hAnsi="黑体" w:eastAsia="黑体" w:cs="黑体"/>
          <w:b w:val="0"/>
          <w:bCs w:val="0"/>
          <w:color w:val="auto"/>
          <w:sz w:val="32"/>
          <w:szCs w:val="32"/>
          <w:lang w:eastAsia="zh-CN"/>
        </w:rPr>
        <w:t>表</w:t>
      </w:r>
      <w:r>
        <w:rPr>
          <w:rFonts w:hint="eastAsia" w:ascii="黑体" w:hAnsi="黑体" w:eastAsia="黑体" w:cs="黑体"/>
          <w:b w:val="0"/>
          <w:bCs w:val="0"/>
          <w:color w:val="auto"/>
          <w:sz w:val="32"/>
          <w:szCs w:val="32"/>
          <w:lang w:val="en-US" w:eastAsia="zh-CN"/>
        </w:rPr>
        <w:t xml:space="preserve">1 </w:t>
      </w:r>
      <w:r>
        <w:rPr>
          <w:rFonts w:hint="eastAsia" w:ascii="黑体" w:hAnsi="黑体" w:eastAsia="黑体" w:cs="黑体"/>
          <w:b w:val="0"/>
          <w:bCs w:val="0"/>
          <w:color w:val="auto"/>
          <w:sz w:val="32"/>
          <w:szCs w:val="32"/>
          <w:lang w:eastAsia="zh-CN"/>
        </w:rPr>
        <w:t>大埔县第二自来水厂饮用水水源</w:t>
      </w:r>
      <w:r>
        <w:rPr>
          <w:rFonts w:hint="eastAsia" w:ascii="黑体" w:hAnsi="黑体" w:eastAsia="黑体" w:cs="黑体"/>
          <w:b w:val="0"/>
          <w:bCs w:val="0"/>
          <w:color w:val="auto"/>
          <w:sz w:val="32"/>
          <w:szCs w:val="32"/>
        </w:rPr>
        <w:t>保护区划定方案</w:t>
      </w:r>
    </w:p>
    <w:tbl>
      <w:tblPr>
        <w:tblStyle w:val="8"/>
        <w:tblW w:w="14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2"/>
        <w:gridCol w:w="352"/>
        <w:gridCol w:w="360"/>
        <w:gridCol w:w="510"/>
        <w:gridCol w:w="750"/>
        <w:gridCol w:w="698"/>
        <w:gridCol w:w="660"/>
        <w:gridCol w:w="761"/>
        <w:gridCol w:w="900"/>
        <w:gridCol w:w="885"/>
        <w:gridCol w:w="855"/>
        <w:gridCol w:w="3210"/>
        <w:gridCol w:w="2985"/>
        <w:gridCol w:w="960"/>
        <w:gridCol w:w="510"/>
      </w:tblGrid>
      <w:tr w14:paraId="278E8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tblHeader/>
        </w:trPr>
        <w:tc>
          <w:tcPr>
            <w:tcW w:w="362" w:type="dxa"/>
            <w:vMerge w:val="restart"/>
            <w:shd w:val="clear" w:color="auto" w:fill="auto"/>
            <w:vAlign w:val="center"/>
          </w:tcPr>
          <w:p w14:paraId="3987874C">
            <w:pPr>
              <w:widowControl/>
              <w:jc w:val="center"/>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序号</w:t>
            </w:r>
          </w:p>
        </w:tc>
        <w:tc>
          <w:tcPr>
            <w:tcW w:w="352" w:type="dxa"/>
            <w:vMerge w:val="restart"/>
            <w:shd w:val="clear" w:color="auto" w:fill="auto"/>
            <w:vAlign w:val="center"/>
          </w:tcPr>
          <w:p w14:paraId="3B40E426">
            <w:pPr>
              <w:widowControl/>
              <w:jc w:val="center"/>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区县</w:t>
            </w:r>
          </w:p>
        </w:tc>
        <w:tc>
          <w:tcPr>
            <w:tcW w:w="360" w:type="dxa"/>
            <w:vMerge w:val="restart"/>
            <w:shd w:val="clear" w:color="auto" w:fill="auto"/>
            <w:vAlign w:val="center"/>
          </w:tcPr>
          <w:p w14:paraId="7ACE49C5">
            <w:pPr>
              <w:widowControl/>
              <w:jc w:val="center"/>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乡镇</w:t>
            </w:r>
          </w:p>
        </w:tc>
        <w:tc>
          <w:tcPr>
            <w:tcW w:w="510" w:type="dxa"/>
            <w:vMerge w:val="restart"/>
            <w:shd w:val="clear" w:color="auto" w:fill="auto"/>
            <w:vAlign w:val="center"/>
          </w:tcPr>
          <w:p w14:paraId="4E391184">
            <w:pPr>
              <w:widowControl/>
              <w:jc w:val="center"/>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原保护区名称</w:t>
            </w:r>
          </w:p>
        </w:tc>
        <w:tc>
          <w:tcPr>
            <w:tcW w:w="2869" w:type="dxa"/>
            <w:gridSpan w:val="4"/>
            <w:shd w:val="clear" w:color="auto" w:fill="auto"/>
            <w:vAlign w:val="center"/>
          </w:tcPr>
          <w:p w14:paraId="0A3E138B">
            <w:pPr>
              <w:widowControl/>
              <w:jc w:val="center"/>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调整前保护区范围</w:t>
            </w:r>
          </w:p>
        </w:tc>
        <w:tc>
          <w:tcPr>
            <w:tcW w:w="900" w:type="dxa"/>
            <w:vMerge w:val="restart"/>
            <w:vAlign w:val="center"/>
          </w:tcPr>
          <w:p w14:paraId="1EE3C6B9">
            <w:pPr>
              <w:widowControl/>
              <w:jc w:val="center"/>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调整后保护区名称</w:t>
            </w:r>
          </w:p>
        </w:tc>
        <w:tc>
          <w:tcPr>
            <w:tcW w:w="885" w:type="dxa"/>
            <w:vMerge w:val="restart"/>
            <w:vAlign w:val="center"/>
          </w:tcPr>
          <w:p w14:paraId="456EB3C3">
            <w:pPr>
              <w:widowControl/>
              <w:jc w:val="center"/>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水质保护目标</w:t>
            </w:r>
          </w:p>
        </w:tc>
        <w:tc>
          <w:tcPr>
            <w:tcW w:w="8010" w:type="dxa"/>
            <w:gridSpan w:val="4"/>
            <w:vAlign w:val="center"/>
          </w:tcPr>
          <w:p w14:paraId="7AC201F4">
            <w:pPr>
              <w:widowControl/>
              <w:jc w:val="center"/>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调整后保护区范围</w:t>
            </w:r>
          </w:p>
        </w:tc>
        <w:tc>
          <w:tcPr>
            <w:tcW w:w="510" w:type="dxa"/>
            <w:vMerge w:val="restart"/>
            <w:shd w:val="clear" w:color="auto" w:fill="auto"/>
            <w:vAlign w:val="center"/>
          </w:tcPr>
          <w:p w14:paraId="6988C7DD">
            <w:pPr>
              <w:widowControl/>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变化说明</w:t>
            </w:r>
          </w:p>
        </w:tc>
      </w:tr>
      <w:tr w14:paraId="130C6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1" w:hRule="atLeast"/>
        </w:trPr>
        <w:tc>
          <w:tcPr>
            <w:tcW w:w="362" w:type="dxa"/>
            <w:vMerge w:val="continue"/>
            <w:vAlign w:val="center"/>
          </w:tcPr>
          <w:p w14:paraId="1271D8FB">
            <w:pPr>
              <w:pStyle w:val="11"/>
              <w:widowControl/>
              <w:numPr>
                <w:ilvl w:val="0"/>
                <w:numId w:val="1"/>
              </w:numPr>
              <w:ind w:firstLineChars="0"/>
              <w:jc w:val="center"/>
              <w:rPr>
                <w:rFonts w:hint="eastAsia" w:ascii="仿宋" w:hAnsi="仿宋" w:eastAsia="仿宋" w:cs="仿宋"/>
                <w:color w:val="auto"/>
                <w:kern w:val="0"/>
                <w:sz w:val="24"/>
                <w:szCs w:val="24"/>
              </w:rPr>
            </w:pPr>
          </w:p>
        </w:tc>
        <w:tc>
          <w:tcPr>
            <w:tcW w:w="352" w:type="dxa"/>
            <w:vMerge w:val="continue"/>
            <w:vAlign w:val="center"/>
          </w:tcPr>
          <w:p w14:paraId="71AFE13F">
            <w:pPr>
              <w:widowControl/>
              <w:jc w:val="center"/>
              <w:rPr>
                <w:rFonts w:hint="eastAsia" w:ascii="仿宋" w:hAnsi="仿宋" w:eastAsia="仿宋" w:cs="仿宋"/>
                <w:color w:val="auto"/>
                <w:kern w:val="0"/>
                <w:sz w:val="24"/>
                <w:szCs w:val="24"/>
              </w:rPr>
            </w:pPr>
          </w:p>
        </w:tc>
        <w:tc>
          <w:tcPr>
            <w:tcW w:w="360" w:type="dxa"/>
            <w:vMerge w:val="continue"/>
            <w:vAlign w:val="center"/>
          </w:tcPr>
          <w:p w14:paraId="72D27AEA">
            <w:pPr>
              <w:widowControl/>
              <w:jc w:val="center"/>
              <w:rPr>
                <w:rFonts w:hint="eastAsia" w:ascii="仿宋" w:hAnsi="仿宋" w:eastAsia="仿宋" w:cs="仿宋"/>
                <w:color w:val="auto"/>
                <w:kern w:val="0"/>
                <w:sz w:val="24"/>
                <w:szCs w:val="24"/>
              </w:rPr>
            </w:pPr>
          </w:p>
        </w:tc>
        <w:tc>
          <w:tcPr>
            <w:tcW w:w="510" w:type="dxa"/>
            <w:vMerge w:val="continue"/>
            <w:vAlign w:val="center"/>
          </w:tcPr>
          <w:p w14:paraId="71FB2C7A">
            <w:pPr>
              <w:widowControl/>
              <w:jc w:val="center"/>
              <w:rPr>
                <w:rFonts w:hint="eastAsia" w:ascii="仿宋" w:hAnsi="仿宋" w:eastAsia="仿宋" w:cs="仿宋"/>
                <w:color w:val="auto"/>
                <w:kern w:val="0"/>
                <w:sz w:val="24"/>
                <w:szCs w:val="24"/>
              </w:rPr>
            </w:pPr>
          </w:p>
        </w:tc>
        <w:tc>
          <w:tcPr>
            <w:tcW w:w="750" w:type="dxa"/>
            <w:shd w:val="clear" w:color="auto" w:fill="auto"/>
            <w:vAlign w:val="center"/>
          </w:tcPr>
          <w:p w14:paraId="65B11E06">
            <w:pPr>
              <w:widowControl/>
              <w:jc w:val="center"/>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保护区级别</w:t>
            </w:r>
          </w:p>
        </w:tc>
        <w:tc>
          <w:tcPr>
            <w:tcW w:w="698" w:type="dxa"/>
            <w:shd w:val="clear" w:color="auto" w:fill="auto"/>
            <w:vAlign w:val="center"/>
          </w:tcPr>
          <w:p w14:paraId="59A9F791">
            <w:pPr>
              <w:widowControl/>
              <w:jc w:val="center"/>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水域</w:t>
            </w:r>
          </w:p>
        </w:tc>
        <w:tc>
          <w:tcPr>
            <w:tcW w:w="660" w:type="dxa"/>
            <w:shd w:val="clear" w:color="auto" w:fill="auto"/>
            <w:vAlign w:val="center"/>
          </w:tcPr>
          <w:p w14:paraId="0962F765">
            <w:pPr>
              <w:widowControl/>
              <w:jc w:val="center"/>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陆域</w:t>
            </w:r>
          </w:p>
        </w:tc>
        <w:tc>
          <w:tcPr>
            <w:tcW w:w="761" w:type="dxa"/>
            <w:shd w:val="clear" w:color="auto" w:fill="auto"/>
            <w:vAlign w:val="center"/>
          </w:tcPr>
          <w:p w14:paraId="6F2818B7">
            <w:pPr>
              <w:widowControl/>
              <w:jc w:val="center"/>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面积</w:t>
            </w:r>
          </w:p>
          <w:p w14:paraId="3C072663">
            <w:pPr>
              <w:jc w:val="center"/>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（km</w:t>
            </w:r>
            <w:r>
              <w:rPr>
                <w:rFonts w:hint="eastAsia" w:ascii="仿宋" w:hAnsi="仿宋" w:eastAsia="仿宋" w:cs="仿宋"/>
                <w:b/>
                <w:bCs/>
                <w:color w:val="auto"/>
                <w:kern w:val="0"/>
                <w:sz w:val="24"/>
                <w:szCs w:val="24"/>
                <w:vertAlign w:val="superscript"/>
              </w:rPr>
              <w:t>2</w:t>
            </w:r>
            <w:r>
              <w:rPr>
                <w:rFonts w:hint="eastAsia" w:ascii="仿宋" w:hAnsi="仿宋" w:eastAsia="仿宋" w:cs="仿宋"/>
                <w:b/>
                <w:bCs/>
                <w:color w:val="auto"/>
                <w:kern w:val="0"/>
                <w:sz w:val="24"/>
                <w:szCs w:val="24"/>
              </w:rPr>
              <w:t>）</w:t>
            </w:r>
          </w:p>
        </w:tc>
        <w:tc>
          <w:tcPr>
            <w:tcW w:w="900" w:type="dxa"/>
            <w:vMerge w:val="continue"/>
            <w:vAlign w:val="center"/>
          </w:tcPr>
          <w:p w14:paraId="5194C3A1">
            <w:pPr>
              <w:widowControl/>
              <w:jc w:val="center"/>
              <w:rPr>
                <w:rFonts w:hint="eastAsia" w:ascii="仿宋" w:hAnsi="仿宋" w:eastAsia="仿宋" w:cs="仿宋"/>
                <w:b/>
                <w:bCs/>
                <w:color w:val="auto"/>
                <w:kern w:val="0"/>
                <w:sz w:val="24"/>
                <w:szCs w:val="24"/>
              </w:rPr>
            </w:pPr>
          </w:p>
        </w:tc>
        <w:tc>
          <w:tcPr>
            <w:tcW w:w="885" w:type="dxa"/>
            <w:vMerge w:val="continue"/>
            <w:vAlign w:val="center"/>
          </w:tcPr>
          <w:p w14:paraId="19B3B3F4">
            <w:pPr>
              <w:widowControl/>
              <w:jc w:val="center"/>
              <w:rPr>
                <w:rFonts w:hint="eastAsia" w:ascii="仿宋" w:hAnsi="仿宋" w:eastAsia="仿宋" w:cs="仿宋"/>
                <w:b/>
                <w:bCs/>
                <w:color w:val="auto"/>
                <w:kern w:val="0"/>
                <w:sz w:val="24"/>
                <w:szCs w:val="24"/>
              </w:rPr>
            </w:pPr>
          </w:p>
        </w:tc>
        <w:tc>
          <w:tcPr>
            <w:tcW w:w="855" w:type="dxa"/>
            <w:vAlign w:val="center"/>
          </w:tcPr>
          <w:p w14:paraId="1ABFAC2B">
            <w:pPr>
              <w:widowControl/>
              <w:jc w:val="center"/>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保护区级别</w:t>
            </w:r>
          </w:p>
        </w:tc>
        <w:tc>
          <w:tcPr>
            <w:tcW w:w="3210" w:type="dxa"/>
            <w:shd w:val="clear" w:color="auto" w:fill="auto"/>
            <w:vAlign w:val="center"/>
          </w:tcPr>
          <w:p w14:paraId="032B9951">
            <w:pPr>
              <w:widowControl/>
              <w:jc w:val="center"/>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水域</w:t>
            </w:r>
          </w:p>
        </w:tc>
        <w:tc>
          <w:tcPr>
            <w:tcW w:w="2985" w:type="dxa"/>
            <w:shd w:val="clear" w:color="auto" w:fill="auto"/>
            <w:vAlign w:val="center"/>
          </w:tcPr>
          <w:p w14:paraId="62F1967C">
            <w:pPr>
              <w:widowControl/>
              <w:jc w:val="center"/>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陆域</w:t>
            </w:r>
          </w:p>
        </w:tc>
        <w:tc>
          <w:tcPr>
            <w:tcW w:w="960" w:type="dxa"/>
            <w:shd w:val="clear" w:color="auto" w:fill="auto"/>
            <w:vAlign w:val="center"/>
          </w:tcPr>
          <w:p w14:paraId="311D782C">
            <w:pPr>
              <w:widowControl/>
              <w:jc w:val="center"/>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面积</w:t>
            </w:r>
          </w:p>
          <w:p w14:paraId="60295834">
            <w:pPr>
              <w:jc w:val="center"/>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（km</w:t>
            </w:r>
            <w:r>
              <w:rPr>
                <w:rFonts w:hint="eastAsia" w:ascii="仿宋" w:hAnsi="仿宋" w:eastAsia="仿宋" w:cs="仿宋"/>
                <w:b/>
                <w:bCs/>
                <w:color w:val="auto"/>
                <w:kern w:val="0"/>
                <w:sz w:val="24"/>
                <w:szCs w:val="24"/>
                <w:vertAlign w:val="superscript"/>
              </w:rPr>
              <w:t>2</w:t>
            </w:r>
            <w:r>
              <w:rPr>
                <w:rFonts w:hint="eastAsia" w:ascii="仿宋" w:hAnsi="仿宋" w:eastAsia="仿宋" w:cs="仿宋"/>
                <w:b/>
                <w:bCs/>
                <w:color w:val="auto"/>
                <w:kern w:val="0"/>
                <w:sz w:val="24"/>
                <w:szCs w:val="24"/>
              </w:rPr>
              <w:t>）</w:t>
            </w:r>
          </w:p>
        </w:tc>
        <w:tc>
          <w:tcPr>
            <w:tcW w:w="510" w:type="dxa"/>
            <w:vMerge w:val="continue"/>
            <w:vAlign w:val="center"/>
          </w:tcPr>
          <w:p w14:paraId="63231CAC">
            <w:pPr>
              <w:widowControl/>
              <w:rPr>
                <w:rFonts w:hint="eastAsia" w:ascii="仿宋" w:hAnsi="仿宋" w:eastAsia="仿宋" w:cs="仿宋"/>
                <w:color w:val="auto"/>
                <w:kern w:val="0"/>
                <w:sz w:val="24"/>
                <w:szCs w:val="24"/>
              </w:rPr>
            </w:pPr>
          </w:p>
        </w:tc>
      </w:tr>
      <w:tr w14:paraId="75CEF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1" w:hRule="atLeast"/>
        </w:trPr>
        <w:tc>
          <w:tcPr>
            <w:tcW w:w="362" w:type="dxa"/>
            <w:vMerge w:val="restart"/>
            <w:shd w:val="clear" w:color="auto" w:fill="auto"/>
            <w:vAlign w:val="center"/>
          </w:tcPr>
          <w:p w14:paraId="0CACF716">
            <w:pPr>
              <w:pStyle w:val="11"/>
              <w:widowControl/>
              <w:numPr>
                <w:ilvl w:val="0"/>
                <w:numId w:val="1"/>
              </w:numPr>
              <w:ind w:firstLineChars="0"/>
              <w:jc w:val="center"/>
              <w:rPr>
                <w:rFonts w:hint="eastAsia" w:ascii="仿宋" w:hAnsi="仿宋" w:eastAsia="仿宋" w:cs="仿宋"/>
                <w:color w:val="auto"/>
                <w:kern w:val="0"/>
                <w:sz w:val="24"/>
                <w:szCs w:val="24"/>
              </w:rPr>
            </w:pPr>
          </w:p>
        </w:tc>
        <w:tc>
          <w:tcPr>
            <w:tcW w:w="352" w:type="dxa"/>
            <w:vMerge w:val="restart"/>
            <w:shd w:val="clear" w:color="auto" w:fill="auto"/>
            <w:vAlign w:val="center"/>
          </w:tcPr>
          <w:p w14:paraId="273EEE4D">
            <w:pPr>
              <w:widowControl/>
              <w:jc w:val="center"/>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大埔县</w:t>
            </w:r>
          </w:p>
        </w:tc>
        <w:tc>
          <w:tcPr>
            <w:tcW w:w="360" w:type="dxa"/>
            <w:vMerge w:val="restart"/>
            <w:shd w:val="clear" w:color="auto" w:fill="auto"/>
            <w:vAlign w:val="center"/>
          </w:tcPr>
          <w:p w14:paraId="675A89DC">
            <w:pPr>
              <w:widowControl/>
              <w:jc w:val="center"/>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highlight w:val="none"/>
                <w:lang w:eastAsia="zh-CN"/>
              </w:rPr>
              <w:t>茶阳镇</w:t>
            </w:r>
          </w:p>
        </w:tc>
        <w:tc>
          <w:tcPr>
            <w:tcW w:w="510" w:type="dxa"/>
            <w:vMerge w:val="restart"/>
            <w:shd w:val="clear" w:color="auto" w:fill="auto"/>
            <w:vAlign w:val="center"/>
          </w:tcPr>
          <w:p w14:paraId="2F2B9B6B">
            <w:pPr>
              <w:widowControl/>
              <w:jc w:val="center"/>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w:t>
            </w:r>
          </w:p>
        </w:tc>
        <w:tc>
          <w:tcPr>
            <w:tcW w:w="750" w:type="dxa"/>
            <w:shd w:val="clear" w:color="auto" w:fill="auto"/>
            <w:vAlign w:val="center"/>
          </w:tcPr>
          <w:p w14:paraId="6D4F1D67">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w:t>
            </w:r>
          </w:p>
        </w:tc>
        <w:tc>
          <w:tcPr>
            <w:tcW w:w="698" w:type="dxa"/>
            <w:shd w:val="clear" w:color="auto" w:fill="auto"/>
            <w:vAlign w:val="center"/>
          </w:tcPr>
          <w:p w14:paraId="283DE7B3">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w:t>
            </w:r>
          </w:p>
        </w:tc>
        <w:tc>
          <w:tcPr>
            <w:tcW w:w="660" w:type="dxa"/>
            <w:shd w:val="clear" w:color="auto" w:fill="auto"/>
            <w:vAlign w:val="center"/>
          </w:tcPr>
          <w:p w14:paraId="6F773D8B">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w:t>
            </w:r>
          </w:p>
        </w:tc>
        <w:tc>
          <w:tcPr>
            <w:tcW w:w="761" w:type="dxa"/>
            <w:shd w:val="clear" w:color="auto" w:fill="auto"/>
            <w:vAlign w:val="center"/>
          </w:tcPr>
          <w:p w14:paraId="296436B7">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w:t>
            </w:r>
          </w:p>
        </w:tc>
        <w:tc>
          <w:tcPr>
            <w:tcW w:w="900" w:type="dxa"/>
            <w:vMerge w:val="restart"/>
            <w:vAlign w:val="center"/>
          </w:tcPr>
          <w:p w14:paraId="362256D3">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highlight w:val="none"/>
                <w:lang w:eastAsia="zh-CN"/>
              </w:rPr>
              <w:t>大埔县第二自来水厂饮用水水源保护区</w:t>
            </w:r>
          </w:p>
        </w:tc>
        <w:tc>
          <w:tcPr>
            <w:tcW w:w="885" w:type="dxa"/>
            <w:vAlign w:val="center"/>
          </w:tcPr>
          <w:p w14:paraId="0CE3EEF8">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highlight w:val="none"/>
                <w:lang w:eastAsia="zh-CN"/>
              </w:rPr>
              <w:t>Ⅱ类</w:t>
            </w:r>
          </w:p>
        </w:tc>
        <w:tc>
          <w:tcPr>
            <w:tcW w:w="855" w:type="dxa"/>
            <w:vAlign w:val="center"/>
          </w:tcPr>
          <w:p w14:paraId="5D122F47">
            <w:pPr>
              <w:widowControl/>
              <w:jc w:val="center"/>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一级</w:t>
            </w:r>
          </w:p>
        </w:tc>
        <w:tc>
          <w:tcPr>
            <w:tcW w:w="3210" w:type="dxa"/>
            <w:shd w:val="clear" w:color="auto" w:fill="auto"/>
            <w:vAlign w:val="center"/>
          </w:tcPr>
          <w:p w14:paraId="4E59A359">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highlight w:val="none"/>
                <w:lang w:val="en-US" w:eastAsia="zh-CN"/>
              </w:rPr>
              <w:t>取水口上游1000米，取水口下游100米</w:t>
            </w:r>
            <w:r>
              <w:rPr>
                <w:rFonts w:hint="eastAsia" w:ascii="仿宋" w:hAnsi="仿宋" w:eastAsia="仿宋" w:cs="仿宋"/>
                <w:color w:val="auto"/>
                <w:kern w:val="0"/>
                <w:sz w:val="24"/>
                <w:szCs w:val="24"/>
                <w:highlight w:val="none"/>
              </w:rPr>
              <w:t>的多年平均水位对应的高程线以下的河道范围（航道除外）。</w:t>
            </w:r>
          </w:p>
        </w:tc>
        <w:tc>
          <w:tcPr>
            <w:tcW w:w="2985" w:type="dxa"/>
            <w:shd w:val="clear" w:color="auto" w:fill="auto"/>
            <w:vAlign w:val="center"/>
          </w:tcPr>
          <w:p w14:paraId="74CC5D77">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highlight w:val="none"/>
                <w:lang w:val="en-US" w:eastAsia="zh-CN"/>
              </w:rPr>
              <w:t>相应一级保护区水域两岸向陆纵深50米的陆域，但不超过县道X961、乡道Y123临水一侧坡面陆域。</w:t>
            </w:r>
          </w:p>
        </w:tc>
        <w:tc>
          <w:tcPr>
            <w:tcW w:w="960" w:type="dxa"/>
            <w:shd w:val="clear" w:color="auto" w:fill="auto"/>
            <w:vAlign w:val="center"/>
          </w:tcPr>
          <w:p w14:paraId="2A7D8326">
            <w:pPr>
              <w:widowControl/>
              <w:jc w:val="center"/>
              <w:rPr>
                <w:rFonts w:hint="eastAsia" w:ascii="仿宋" w:hAnsi="仿宋" w:eastAsia="仿宋" w:cs="仿宋"/>
                <w:color w:val="auto"/>
                <w:kern w:val="0"/>
                <w:sz w:val="24"/>
                <w:szCs w:val="24"/>
                <w:lang w:val="en-US"/>
              </w:rPr>
            </w:pPr>
            <w:r>
              <w:rPr>
                <w:rFonts w:hint="eastAsia" w:ascii="仿宋" w:hAnsi="仿宋" w:eastAsia="仿宋" w:cs="仿宋"/>
                <w:color w:val="auto"/>
                <w:kern w:val="0"/>
                <w:sz w:val="24"/>
                <w:szCs w:val="24"/>
                <w:highlight w:val="none"/>
                <w:lang w:val="en-US" w:eastAsia="zh-CN"/>
              </w:rPr>
              <w:t>0.321</w:t>
            </w:r>
          </w:p>
        </w:tc>
        <w:tc>
          <w:tcPr>
            <w:tcW w:w="510" w:type="dxa"/>
            <w:vMerge w:val="restart"/>
            <w:shd w:val="clear" w:color="auto" w:fill="auto"/>
            <w:vAlign w:val="center"/>
          </w:tcPr>
          <w:p w14:paraId="37090574">
            <w:pPr>
              <w:widowControl/>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新划定</w:t>
            </w:r>
          </w:p>
        </w:tc>
      </w:tr>
      <w:tr w14:paraId="04410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atLeast"/>
        </w:trPr>
        <w:tc>
          <w:tcPr>
            <w:tcW w:w="362" w:type="dxa"/>
            <w:vMerge w:val="continue"/>
            <w:shd w:val="clear" w:color="auto" w:fill="auto"/>
            <w:vAlign w:val="center"/>
          </w:tcPr>
          <w:p w14:paraId="5D73C114">
            <w:pPr>
              <w:pStyle w:val="11"/>
              <w:widowControl/>
              <w:numPr>
                <w:ilvl w:val="0"/>
                <w:numId w:val="0"/>
              </w:numPr>
              <w:ind w:leftChars="0"/>
              <w:jc w:val="both"/>
              <w:rPr>
                <w:rFonts w:hint="eastAsia" w:ascii="仿宋" w:hAnsi="仿宋" w:eastAsia="仿宋" w:cs="仿宋"/>
                <w:color w:val="auto"/>
                <w:kern w:val="0"/>
                <w:sz w:val="24"/>
                <w:szCs w:val="24"/>
              </w:rPr>
            </w:pPr>
          </w:p>
        </w:tc>
        <w:tc>
          <w:tcPr>
            <w:tcW w:w="352" w:type="dxa"/>
            <w:vMerge w:val="continue"/>
            <w:shd w:val="clear" w:color="auto" w:fill="auto"/>
            <w:vAlign w:val="center"/>
          </w:tcPr>
          <w:p w14:paraId="653DEF73">
            <w:pPr>
              <w:widowControl/>
              <w:jc w:val="center"/>
              <w:rPr>
                <w:rFonts w:hint="eastAsia" w:ascii="仿宋" w:hAnsi="仿宋" w:eastAsia="仿宋" w:cs="仿宋"/>
                <w:color w:val="auto"/>
                <w:kern w:val="0"/>
                <w:sz w:val="24"/>
                <w:szCs w:val="24"/>
                <w:lang w:eastAsia="zh-CN"/>
              </w:rPr>
            </w:pPr>
          </w:p>
        </w:tc>
        <w:tc>
          <w:tcPr>
            <w:tcW w:w="360" w:type="dxa"/>
            <w:vMerge w:val="continue"/>
            <w:shd w:val="clear" w:color="auto" w:fill="auto"/>
            <w:vAlign w:val="center"/>
          </w:tcPr>
          <w:p w14:paraId="6BF35619">
            <w:pPr>
              <w:widowControl/>
              <w:jc w:val="center"/>
              <w:rPr>
                <w:rFonts w:hint="eastAsia" w:ascii="仿宋" w:hAnsi="仿宋" w:eastAsia="仿宋" w:cs="仿宋"/>
                <w:color w:val="auto"/>
                <w:kern w:val="0"/>
                <w:sz w:val="24"/>
                <w:szCs w:val="24"/>
                <w:lang w:eastAsia="zh-CN"/>
              </w:rPr>
            </w:pPr>
          </w:p>
        </w:tc>
        <w:tc>
          <w:tcPr>
            <w:tcW w:w="510" w:type="dxa"/>
            <w:vMerge w:val="continue"/>
            <w:shd w:val="clear" w:color="auto" w:fill="auto"/>
            <w:vAlign w:val="center"/>
          </w:tcPr>
          <w:p w14:paraId="125A6180">
            <w:pPr>
              <w:widowControl/>
              <w:jc w:val="center"/>
              <w:rPr>
                <w:rFonts w:hint="eastAsia" w:ascii="仿宋" w:hAnsi="仿宋" w:eastAsia="仿宋" w:cs="仿宋"/>
                <w:color w:val="auto"/>
                <w:kern w:val="0"/>
                <w:sz w:val="24"/>
                <w:szCs w:val="24"/>
                <w:lang w:eastAsia="zh-CN"/>
              </w:rPr>
            </w:pPr>
          </w:p>
        </w:tc>
        <w:tc>
          <w:tcPr>
            <w:tcW w:w="750" w:type="dxa"/>
            <w:shd w:val="clear" w:color="auto" w:fill="auto"/>
            <w:vAlign w:val="center"/>
          </w:tcPr>
          <w:p w14:paraId="21E366F5">
            <w:pPr>
              <w:widowControl/>
              <w:jc w:val="center"/>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w:t>
            </w:r>
          </w:p>
        </w:tc>
        <w:tc>
          <w:tcPr>
            <w:tcW w:w="698" w:type="dxa"/>
            <w:shd w:val="clear" w:color="auto" w:fill="auto"/>
            <w:vAlign w:val="center"/>
          </w:tcPr>
          <w:p w14:paraId="06CEA9EF">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w:t>
            </w:r>
          </w:p>
        </w:tc>
        <w:tc>
          <w:tcPr>
            <w:tcW w:w="660" w:type="dxa"/>
            <w:shd w:val="clear" w:color="auto" w:fill="auto"/>
            <w:vAlign w:val="center"/>
          </w:tcPr>
          <w:p w14:paraId="7417F4C8">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w:t>
            </w:r>
          </w:p>
        </w:tc>
        <w:tc>
          <w:tcPr>
            <w:tcW w:w="761" w:type="dxa"/>
            <w:shd w:val="clear" w:color="auto" w:fill="auto"/>
            <w:vAlign w:val="center"/>
          </w:tcPr>
          <w:p w14:paraId="394A86B9">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w:t>
            </w:r>
          </w:p>
        </w:tc>
        <w:tc>
          <w:tcPr>
            <w:tcW w:w="900" w:type="dxa"/>
            <w:vMerge w:val="continue"/>
            <w:vAlign w:val="center"/>
          </w:tcPr>
          <w:p w14:paraId="2CA73A34">
            <w:pPr>
              <w:widowControl/>
              <w:jc w:val="center"/>
              <w:rPr>
                <w:rFonts w:hint="eastAsia" w:ascii="仿宋" w:hAnsi="仿宋" w:eastAsia="仿宋" w:cs="仿宋"/>
                <w:color w:val="auto"/>
                <w:kern w:val="0"/>
                <w:sz w:val="24"/>
                <w:szCs w:val="24"/>
              </w:rPr>
            </w:pPr>
          </w:p>
        </w:tc>
        <w:tc>
          <w:tcPr>
            <w:tcW w:w="885" w:type="dxa"/>
            <w:vAlign w:val="center"/>
          </w:tcPr>
          <w:p w14:paraId="39D33FD4">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highlight w:val="none"/>
                <w:lang w:eastAsia="zh-CN"/>
              </w:rPr>
              <w:t>Ⅱ类</w:t>
            </w:r>
          </w:p>
        </w:tc>
        <w:tc>
          <w:tcPr>
            <w:tcW w:w="855" w:type="dxa"/>
            <w:vAlign w:val="center"/>
          </w:tcPr>
          <w:p w14:paraId="48EDD19C">
            <w:pPr>
              <w:widowControl/>
              <w:jc w:val="center"/>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二级</w:t>
            </w:r>
          </w:p>
        </w:tc>
        <w:tc>
          <w:tcPr>
            <w:tcW w:w="3210" w:type="dxa"/>
            <w:shd w:val="clear" w:color="auto" w:fill="auto"/>
            <w:vAlign w:val="center"/>
          </w:tcPr>
          <w:p w14:paraId="7483E253">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highlight w:val="none"/>
                <w:lang w:val="en-US" w:eastAsia="zh-CN"/>
              </w:rPr>
              <w:t>取水口上游3000米，取水口下游300米</w:t>
            </w:r>
            <w:r>
              <w:rPr>
                <w:rFonts w:hint="eastAsia" w:ascii="仿宋" w:hAnsi="仿宋" w:eastAsia="仿宋" w:cs="仿宋"/>
                <w:color w:val="auto"/>
                <w:kern w:val="0"/>
                <w:sz w:val="24"/>
                <w:szCs w:val="24"/>
                <w:highlight w:val="none"/>
              </w:rPr>
              <w:t>的多年平均水位对应的高程线以下的河道范围（一级保护区及航道除外）。</w:t>
            </w:r>
          </w:p>
        </w:tc>
        <w:tc>
          <w:tcPr>
            <w:tcW w:w="2985" w:type="dxa"/>
            <w:shd w:val="clear" w:color="auto" w:fill="auto"/>
            <w:vAlign w:val="center"/>
          </w:tcPr>
          <w:p w14:paraId="7B7C8DB4">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highlight w:val="none"/>
                <w:lang w:val="en-US" w:eastAsia="zh-CN"/>
              </w:rPr>
              <w:t>相应一级保护区陆域和二级保护区水域两岸向陆纵深1000米，但不超过流域分水岭范围。</w:t>
            </w:r>
          </w:p>
        </w:tc>
        <w:tc>
          <w:tcPr>
            <w:tcW w:w="960" w:type="dxa"/>
            <w:shd w:val="clear" w:color="auto" w:fill="auto"/>
            <w:vAlign w:val="center"/>
          </w:tcPr>
          <w:p w14:paraId="6A87F433">
            <w:pPr>
              <w:widowControl/>
              <w:jc w:val="center"/>
              <w:rPr>
                <w:rFonts w:hint="eastAsia" w:ascii="仿宋" w:hAnsi="仿宋" w:eastAsia="仿宋" w:cs="仿宋"/>
                <w:color w:val="auto"/>
                <w:kern w:val="0"/>
                <w:sz w:val="24"/>
                <w:szCs w:val="24"/>
                <w:lang w:val="en-US"/>
              </w:rPr>
            </w:pPr>
            <w:r>
              <w:rPr>
                <w:rFonts w:hint="eastAsia" w:ascii="仿宋" w:hAnsi="仿宋" w:eastAsia="仿宋" w:cs="仿宋"/>
                <w:color w:val="auto"/>
                <w:kern w:val="0"/>
                <w:sz w:val="24"/>
                <w:szCs w:val="24"/>
                <w:highlight w:val="none"/>
                <w:lang w:val="en-US" w:eastAsia="zh-CN"/>
              </w:rPr>
              <w:t>6.3395</w:t>
            </w:r>
          </w:p>
        </w:tc>
        <w:tc>
          <w:tcPr>
            <w:tcW w:w="510" w:type="dxa"/>
            <w:vMerge w:val="continue"/>
            <w:shd w:val="clear" w:color="auto" w:fill="auto"/>
            <w:vAlign w:val="center"/>
          </w:tcPr>
          <w:p w14:paraId="121DBD76">
            <w:pPr>
              <w:widowControl/>
              <w:rPr>
                <w:rFonts w:hint="eastAsia" w:ascii="仿宋" w:hAnsi="仿宋" w:eastAsia="仿宋" w:cs="仿宋"/>
                <w:color w:val="auto"/>
                <w:kern w:val="0"/>
                <w:sz w:val="24"/>
                <w:szCs w:val="24"/>
                <w:lang w:eastAsia="zh-CN"/>
              </w:rPr>
            </w:pPr>
          </w:p>
        </w:tc>
      </w:tr>
    </w:tbl>
    <w:p w14:paraId="60C068D5">
      <w:pPr>
        <w:rPr>
          <w:color w:val="auto"/>
        </w:rPr>
        <w:sectPr>
          <w:pgSz w:w="16838" w:h="11906" w:orient="landscape"/>
          <w:pgMar w:top="1083" w:right="1083" w:bottom="1083" w:left="1083" w:header="851" w:footer="992" w:gutter="0"/>
          <w:pgNumType w:fmt="decimal"/>
          <w:cols w:space="425" w:num="1"/>
          <w:docGrid w:type="lines" w:linePitch="312" w:charSpace="0"/>
        </w:sectPr>
      </w:pPr>
    </w:p>
    <w:p w14:paraId="1AA059EC">
      <w:pPr>
        <w:jc w:val="center"/>
        <w:rPr>
          <w:rFonts w:hint="eastAsia" w:eastAsiaTheme="minorEastAsia"/>
          <w:color w:val="auto"/>
          <w:lang w:eastAsia="zh-CN"/>
        </w:rPr>
      </w:pPr>
      <w:r>
        <w:rPr>
          <w:rFonts w:hint="eastAsia" w:eastAsia="宋体"/>
          <w:color w:val="auto"/>
          <w:highlight w:val="none"/>
          <w:lang w:eastAsia="zh-CN"/>
        </w:rPr>
        <w:drawing>
          <wp:inline distT="0" distB="0" distL="114300" distR="114300">
            <wp:extent cx="9304655" cy="6584950"/>
            <wp:effectExtent l="0" t="0" r="10795" b="6350"/>
            <wp:docPr id="18" name="图片 18" descr="大埔县第二自来水厂饮用水水源保护区划图(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大埔县第二自来水厂饮用水水源保护区划图(2)"/>
                    <pic:cNvPicPr>
                      <a:picLocks noChangeAspect="1"/>
                    </pic:cNvPicPr>
                  </pic:nvPicPr>
                  <pic:blipFill>
                    <a:blip r:embed="rId6"/>
                    <a:stretch>
                      <a:fillRect/>
                    </a:stretch>
                  </pic:blipFill>
                  <pic:spPr>
                    <a:xfrm>
                      <a:off x="0" y="0"/>
                      <a:ext cx="9304655" cy="6584950"/>
                    </a:xfrm>
                    <a:prstGeom prst="rect">
                      <a:avLst/>
                    </a:prstGeom>
                  </pic:spPr>
                </pic:pic>
              </a:graphicData>
            </a:graphic>
          </wp:inline>
        </w:drawing>
      </w:r>
    </w:p>
    <w:sectPr>
      <w:footerReference r:id="rId4" w:type="default"/>
      <w:pgSz w:w="16838" w:h="11906" w:orient="landscape"/>
      <w:pgMar w:top="720" w:right="720" w:bottom="720" w:left="720" w:header="567" w:footer="680"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8315E">
    <w:pPr>
      <w:pStyle w:val="5"/>
      <w:jc w:val="center"/>
      <w:rPr>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520848158"/>
                            <w:docPartObj>
                              <w:docPartGallery w:val="autotext"/>
                            </w:docPartObj>
                          </w:sdtPr>
                          <w:sdtEndPr>
                            <w:rPr>
                              <w:sz w:val="24"/>
                              <w:szCs w:val="24"/>
                            </w:rPr>
                          </w:sdtEndPr>
                          <w:sdtContent>
                            <w:p w14:paraId="55CBBB0D">
                              <w:pPr>
                                <w:pStyle w:val="5"/>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3</w:t>
                              </w:r>
                              <w:r>
                                <w:rPr>
                                  <w:sz w:val="24"/>
                                  <w:szCs w:val="24"/>
                                </w:rPr>
                                <w:fldChar w:fldCharType="end"/>
                              </w:r>
                            </w:p>
                          </w:sdtContent>
                        </w:sdt>
                        <w:p w14:paraId="5755099B">
                          <w:pPr>
                            <w:pStyle w:val="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sdt>
                    <w:sdtPr>
                      <w:id w:val="-1520848158"/>
                      <w:docPartObj>
                        <w:docPartGallery w:val="autotext"/>
                      </w:docPartObj>
                    </w:sdtPr>
                    <w:sdtEndPr>
                      <w:rPr>
                        <w:sz w:val="24"/>
                        <w:szCs w:val="24"/>
                      </w:rPr>
                    </w:sdtEndPr>
                    <w:sdtContent>
                      <w:p w14:paraId="55CBBB0D">
                        <w:pPr>
                          <w:pStyle w:val="5"/>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3</w:t>
                        </w:r>
                        <w:r>
                          <w:rPr>
                            <w:sz w:val="24"/>
                            <w:szCs w:val="24"/>
                          </w:rPr>
                          <w:fldChar w:fldCharType="end"/>
                        </w:r>
                      </w:p>
                    </w:sdtContent>
                  </w:sdt>
                  <w:p w14:paraId="5755099B">
                    <w:pPr>
                      <w:pStyle w:val="7"/>
                    </w:pPr>
                  </w:p>
                </w:txbxContent>
              </v:textbox>
            </v:shape>
          </w:pict>
        </mc:Fallback>
      </mc:AlternateContent>
    </w:r>
  </w:p>
  <w:p w14:paraId="0E8BAEEC">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B109E">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383540">
                          <w:pPr>
                            <w:pStyle w:val="5"/>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D383540">
                    <w:pPr>
                      <w:pStyle w:val="5"/>
                    </w:pPr>
                    <w:r>
                      <w:fldChar w:fldCharType="begin"/>
                    </w:r>
                    <w:r>
                      <w:instrText xml:space="preserve"> PAGE  \* MERGEFORMAT </w:instrText>
                    </w:r>
                    <w:r>
                      <w:fldChar w:fldCharType="separate"/>
                    </w:r>
                    <w:r>
                      <w:t>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C246E0"/>
    <w:multiLevelType w:val="multilevel"/>
    <w:tmpl w:val="72C246E0"/>
    <w:lvl w:ilvl="0" w:tentative="0">
      <w:start w:val="1"/>
      <w:numFmt w:val="decimal"/>
      <w:suff w:val="nothing"/>
      <w:lvlText w:val="%1"/>
      <w:lvlJc w:val="center"/>
      <w:pPr>
        <w:ind w:left="0" w:firstLine="0"/>
      </w:pPr>
      <w:rPr>
        <w:rFonts w:hint="default" w:ascii="Times New Roman" w:hAnsi="Times New Roman" w:eastAsia="仿宋"/>
        <w:b w:val="0"/>
        <w:i w:val="0"/>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zNjAxZjIxNDJiMmViMjAyNDQ0NDMyM2JjMmM0N2QifQ=="/>
  </w:docVars>
  <w:rsids>
    <w:rsidRoot w:val="3FC614EA"/>
    <w:rsid w:val="00282D9F"/>
    <w:rsid w:val="018B3460"/>
    <w:rsid w:val="07213DE6"/>
    <w:rsid w:val="09FF4F02"/>
    <w:rsid w:val="0AAD5211"/>
    <w:rsid w:val="0CDA689B"/>
    <w:rsid w:val="0DE1065A"/>
    <w:rsid w:val="12443884"/>
    <w:rsid w:val="1431384D"/>
    <w:rsid w:val="145D4587"/>
    <w:rsid w:val="14A00AF4"/>
    <w:rsid w:val="151C680D"/>
    <w:rsid w:val="155D6085"/>
    <w:rsid w:val="167C4D9E"/>
    <w:rsid w:val="1876405C"/>
    <w:rsid w:val="1A0D3264"/>
    <w:rsid w:val="1AF70613"/>
    <w:rsid w:val="1BB61177"/>
    <w:rsid w:val="1E1E4659"/>
    <w:rsid w:val="1EF52C11"/>
    <w:rsid w:val="214A5B22"/>
    <w:rsid w:val="21D264BC"/>
    <w:rsid w:val="21F01775"/>
    <w:rsid w:val="23C3482E"/>
    <w:rsid w:val="25B32C8E"/>
    <w:rsid w:val="275F1CB9"/>
    <w:rsid w:val="28881FFD"/>
    <w:rsid w:val="293A2B1A"/>
    <w:rsid w:val="2D402B81"/>
    <w:rsid w:val="2EBA71A9"/>
    <w:rsid w:val="2F665D37"/>
    <w:rsid w:val="2FAE5D9D"/>
    <w:rsid w:val="33F42855"/>
    <w:rsid w:val="343139E4"/>
    <w:rsid w:val="34DB2150"/>
    <w:rsid w:val="34E037BB"/>
    <w:rsid w:val="373F1E68"/>
    <w:rsid w:val="39185B9E"/>
    <w:rsid w:val="39EA17C3"/>
    <w:rsid w:val="3AAD4339"/>
    <w:rsid w:val="3CDC0C1B"/>
    <w:rsid w:val="3FC614EA"/>
    <w:rsid w:val="40246BD8"/>
    <w:rsid w:val="41C3589D"/>
    <w:rsid w:val="43192030"/>
    <w:rsid w:val="44A40D42"/>
    <w:rsid w:val="457C6329"/>
    <w:rsid w:val="464B7B0D"/>
    <w:rsid w:val="46AF2092"/>
    <w:rsid w:val="47D26740"/>
    <w:rsid w:val="4A066F58"/>
    <w:rsid w:val="4BEA7AAD"/>
    <w:rsid w:val="4CEA4A5F"/>
    <w:rsid w:val="4E451F2B"/>
    <w:rsid w:val="4EC61901"/>
    <w:rsid w:val="504E34A7"/>
    <w:rsid w:val="50EB0C12"/>
    <w:rsid w:val="52C80ABE"/>
    <w:rsid w:val="579A79CE"/>
    <w:rsid w:val="5A5955A8"/>
    <w:rsid w:val="5CBB191B"/>
    <w:rsid w:val="5DC46B47"/>
    <w:rsid w:val="5DFF3E94"/>
    <w:rsid w:val="610C3DFB"/>
    <w:rsid w:val="63112FF8"/>
    <w:rsid w:val="63A66144"/>
    <w:rsid w:val="64DE4E4F"/>
    <w:rsid w:val="65943E15"/>
    <w:rsid w:val="68E623A3"/>
    <w:rsid w:val="69455E2A"/>
    <w:rsid w:val="69547082"/>
    <w:rsid w:val="6A970FDB"/>
    <w:rsid w:val="6C1644DE"/>
    <w:rsid w:val="6CC12697"/>
    <w:rsid w:val="6EF4268C"/>
    <w:rsid w:val="6FE83B65"/>
    <w:rsid w:val="7085709B"/>
    <w:rsid w:val="71945FFF"/>
    <w:rsid w:val="71A067AB"/>
    <w:rsid w:val="77EA6B85"/>
    <w:rsid w:val="78FF2C54"/>
    <w:rsid w:val="7A842E8F"/>
    <w:rsid w:val="7ABE5163"/>
    <w:rsid w:val="7D3802FC"/>
    <w:rsid w:val="7DC530DD"/>
    <w:rsid w:val="7DCB031C"/>
    <w:rsid w:val="7EA06AC5"/>
    <w:rsid w:val="F4357E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3"/>
    <w:basedOn w:val="1"/>
    <w:next w:val="1"/>
    <w:unhideWhenUsed/>
    <w:qFormat/>
    <w:uiPriority w:val="9"/>
    <w:pPr>
      <w:keepNext/>
      <w:keepLines/>
      <w:spacing w:line="360" w:lineRule="auto"/>
      <w:ind w:firstLine="566" w:firstLineChars="188"/>
      <w:outlineLvl w:val="2"/>
    </w:pPr>
    <w:rPr>
      <w:rFonts w:ascii="黑体" w:eastAsia="黑体"/>
      <w:b/>
      <w:bCs/>
      <w:sz w:val="30"/>
      <w:szCs w:val="30"/>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1"/>
    <w:pPr>
      <w:spacing w:after="120"/>
    </w:pPr>
  </w:style>
  <w:style w:type="paragraph" w:customStyle="1" w:styleId="3">
    <w:name w:val="xl27"/>
    <w:basedOn w:val="1"/>
    <w:qFormat/>
    <w:uiPriority w:val="0"/>
    <w:pPr>
      <w:widowControl/>
      <w:pBdr>
        <w:bottom w:val="single" w:color="auto" w:sz="12" w:space="0"/>
      </w:pBdr>
      <w:spacing w:before="100" w:after="100"/>
      <w:jc w:val="center"/>
    </w:pPr>
    <w:rPr>
      <w:rFonts w:ascii="宋体" w:hAnsi="宋体"/>
      <w:kern w:val="0"/>
      <w:szCs w:val="20"/>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2"/>
    <w:unhideWhenUsed/>
    <w:qFormat/>
    <w:uiPriority w:val="99"/>
    <w:pPr>
      <w:widowControl w:val="0"/>
      <w:ind w:left="420" w:leftChars="200" w:firstLine="420" w:firstLineChars="200"/>
      <w:jc w:val="both"/>
    </w:pPr>
    <w:rPr>
      <w:rFonts w:ascii="Calibri" w:hAnsi="Calibri" w:eastAsia="宋体" w:cs="Times New Roman"/>
      <w:kern w:val="2"/>
      <w:sz w:val="21"/>
      <w:szCs w:val="21"/>
      <w:lang w:val="en-US" w:eastAsia="zh-CN" w:bidi="ar-SA"/>
    </w:rPr>
  </w:style>
  <w:style w:type="paragraph" w:customStyle="1" w:styleId="10">
    <w:name w:val="Table Paragraph"/>
    <w:basedOn w:val="1"/>
    <w:qFormat/>
    <w:uiPriority w:val="1"/>
    <w:pPr>
      <w:widowControl w:val="0"/>
      <w:adjustRightInd/>
      <w:snapToGrid/>
      <w:spacing w:after="0"/>
    </w:pPr>
    <w:rPr>
      <w:rFonts w:asciiTheme="minorHAnsi" w:hAnsiTheme="minorHAnsi" w:eastAsiaTheme="minorEastAsia"/>
      <w:lang w:eastAsia="en-US"/>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1359</Words>
  <Characters>1446</Characters>
  <Lines>0</Lines>
  <Paragraphs>0</Paragraphs>
  <TotalTime>13</TotalTime>
  <ScaleCrop>false</ScaleCrop>
  <LinksUpToDate>false</LinksUpToDate>
  <CharactersWithSpaces>1449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2021-11-11T16:17:00Z</dcterms:created>
  <dc:creator>Administrator</dc:creator>
  <cp:lastModifiedBy>刘骨头</cp:lastModifiedBy>
  <cp:lastPrinted>2023-05-16T03:53:00Z</cp:lastPrinted>
  <dcterms:modified xsi:type="dcterms:W3CDTF">2025-12-11T07:24:22Z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69024972360E49148A5EECC9E1EA4D4F_13</vt:lpwstr>
  </property>
  <property fmtid="{D5CDD505-2E9C-101B-9397-08002B2CF9AE}" pid="4" name="KSOTemplateDocerSaveRecord">
    <vt:lpwstr>eyJoZGlkIjoiNDdmYmE2ZWVmN2U2ODc1MjhhZjk1ODNhOGZiYjEwY2UiLCJ1c2VySWQiOiIxMTMyODkwOTgxIn0=</vt:lpwstr>
  </property>
</Properties>
</file>