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5EFB">
      <w:pPr>
        <w:pStyle w:val="7"/>
        <w:spacing w:line="390" w:lineRule="atLeast"/>
        <w:rPr>
          <w:rFonts w:hint="eastAsia" w:ascii="仿宋_GB2312" w:hAnsi="ˎ̥" w:eastAsia="仿宋_GB2312"/>
          <w:b/>
          <w:bCs/>
          <w:color w:val="333333"/>
          <w:sz w:val="32"/>
          <w:szCs w:val="32"/>
        </w:rPr>
      </w:pPr>
    </w:p>
    <w:p w14:paraId="509D8D1A">
      <w:pPr>
        <w:pStyle w:val="7"/>
        <w:spacing w:line="390" w:lineRule="atLeast"/>
        <w:jc w:val="center"/>
        <w:rPr>
          <w:rFonts w:asciiTheme="majorEastAsia" w:hAnsiTheme="majorEastAsia" w:eastAsiaTheme="majorEastAsia"/>
          <w:b/>
          <w:bCs/>
          <w:color w:val="333333"/>
          <w:sz w:val="36"/>
          <w:szCs w:val="36"/>
        </w:rPr>
      </w:pPr>
      <w:r>
        <w:rPr>
          <w:rFonts w:hint="eastAsia" w:ascii="仿宋_GB2312" w:hAnsi="ˎ̥" w:eastAsia="仿宋_GB2312"/>
          <w:b/>
          <w:bCs/>
          <w:color w:val="333333"/>
          <w:sz w:val="32"/>
          <w:szCs w:val="32"/>
        </w:rPr>
        <w:t>附件:</w:t>
      </w:r>
      <w:r>
        <w:rPr>
          <w:rFonts w:hint="eastAsia" w:asciiTheme="majorEastAsia" w:hAnsiTheme="majorEastAsia" w:eastAsiaTheme="majorEastAsia"/>
          <w:b/>
          <w:bCs/>
          <w:color w:val="333333"/>
          <w:sz w:val="36"/>
          <w:szCs w:val="36"/>
        </w:rPr>
        <w:t>大埔县国民经济和社会发展第十四个五年</w:t>
      </w:r>
    </w:p>
    <w:p w14:paraId="6247BF7A">
      <w:pPr>
        <w:pStyle w:val="7"/>
        <w:spacing w:line="390" w:lineRule="atLeast"/>
        <w:jc w:val="center"/>
        <w:rPr>
          <w:rFonts w:asciiTheme="majorEastAsia" w:hAnsiTheme="majorEastAsia" w:eastAsiaTheme="majorEastAsia"/>
          <w:b/>
          <w:bCs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333333"/>
          <w:sz w:val="36"/>
          <w:szCs w:val="36"/>
        </w:rPr>
        <w:t>规划纲要(征求意见稿）摘要</w:t>
      </w:r>
    </w:p>
    <w:p w14:paraId="15C57DF0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一、基础条件和发展形势</w:t>
      </w:r>
    </w:p>
    <w:p w14:paraId="0D42D33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（一）发展基础。</w:t>
      </w:r>
      <w:r>
        <w:rPr>
          <w:rFonts w:hint="eastAsia" w:ascii="仿宋" w:hAnsi="仿宋" w:eastAsia="仿宋"/>
          <w:sz w:val="32"/>
          <w:szCs w:val="32"/>
        </w:rPr>
        <w:t>“十三五”期间，我县落实省委“1+1+9”工作部署、市委“123456”“六争六补”思路举措和县委“456”发展战略，抢抓重大区域发展机遇，坚持稳中求进，统筹抓好稳增长、调结构、促改革、惠民生、防风险各项工作，全面建成小康社会目标任务圆满收官，综合经济实力稳步提升，电力、陶瓷、文化旅游、大健康、特色高效农业五大产业加快发展，中心城区提质扩容进展顺利，乡村振兴战略实施取得成效，基础设施支撑经济社会发展能力有效提升，文化大埔魅力日益彰显，社会民生事业全面进步，生态环境优势有效巩固，改革开放工作成效明显。</w:t>
      </w:r>
    </w:p>
    <w:p w14:paraId="6814EABE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（二）发展形势。</w:t>
      </w:r>
      <w:r>
        <w:rPr>
          <w:rFonts w:hint="eastAsia" w:ascii="仿宋" w:hAnsi="仿宋" w:eastAsia="仿宋"/>
          <w:sz w:val="32"/>
          <w:szCs w:val="32"/>
        </w:rPr>
        <w:t>“十四五”时期，</w:t>
      </w:r>
      <w:r>
        <w:rPr>
          <w:rFonts w:hint="eastAsia" w:ascii="仿宋" w:hAnsi="仿宋" w:eastAsia="仿宋"/>
          <w:sz w:val="32"/>
          <w:szCs w:val="32"/>
          <w:lang w:eastAsia="zh-CN"/>
        </w:rPr>
        <w:t>当今</w:t>
      </w:r>
      <w:r>
        <w:rPr>
          <w:rFonts w:hint="eastAsia" w:ascii="仿宋" w:hAnsi="仿宋" w:eastAsia="仿宋"/>
          <w:sz w:val="32"/>
          <w:szCs w:val="32"/>
        </w:rPr>
        <w:t>世界正经历百年未有之大变局，中国特色社会主义进入新时代，已转向高质量发展阶段，并推动形成以国内大循环为主体、国内国际双循环相互促进的新发展格局，经济长期向好的基本面没有改变。综合分析国家、省、市层面的发展要求和政策导向，“十四五”时期，我县将在苏区老区振兴发展、产业转型升级、文旅康养市场培育、“两新一重”建设、融入“双区”建设等方面迎来重大机遇和政策利好。但是，我县属于后发展欠发达地区的县情没有改变，仍然面临着综合实力不强、特色产业优势不突出、交通基础设施和发展平台短板明显、资源要素环境约束加大、城乡发展不平衡不充分等问题。综合研判，当前和今后一个时期，我县发展仍然处于重要战略机遇期，但机遇和挑战都有新的发展变化。</w:t>
      </w:r>
    </w:p>
    <w:p w14:paraId="3C68A742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二、“十四五”期间发展总体思路</w:t>
      </w:r>
    </w:p>
    <w:p w14:paraId="1E2202D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举中国特色社会主义伟大旗帜，全面贯彻党的十九大和十九届二中、三中、四中、五中全会精神，坚持以马克思列宁主义、毛泽东思想、邓小平理论、“三个代表”重要思想、科学发展观、习近平新时代中国特色社会主义思想为指导，全面贯彻党的基本理论、基本路线、基本方略，深入贯彻习近平总书记对广东重要讲话和重要指示精神，统筹推进“五位一体”总体布局，协调推进“四个全面”战略布局，坚持新发展理念，坚持稳中求进工作总基调，以推动高质量发展为主题，以供给侧结构性改革为主线，以改革创新为根本动力，以满足人民日益增长的美好生活需要为根本目的，抢抓“双区”“双城”建设、进一步推动老区苏区振兴发展、构建“一核一带一区”区域发展格局等重大机遇，深化落实省委“1+1+9”工作部署和市委“1</w:t>
      </w:r>
      <w:r>
        <w:rPr>
          <w:rFonts w:ascii="仿宋" w:hAnsi="仿宋" w:eastAsia="仿宋"/>
          <w:sz w:val="32"/>
          <w:szCs w:val="32"/>
        </w:rPr>
        <w:t>23456</w:t>
      </w:r>
      <w:r>
        <w:rPr>
          <w:rFonts w:hint="eastAsia" w:ascii="仿宋" w:hAnsi="仿宋" w:eastAsia="仿宋"/>
          <w:sz w:val="32"/>
          <w:szCs w:val="32"/>
        </w:rPr>
        <w:t>”“六争六补”思路举措，加快建设现代化经济体系，推进</w:t>
      </w:r>
      <w:r>
        <w:rPr>
          <w:rFonts w:hint="eastAsia" w:ascii="仿宋" w:hAnsi="仿宋" w:eastAsia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/>
          <w:sz w:val="32"/>
          <w:szCs w:val="32"/>
        </w:rPr>
        <w:t>治理体系和治理能力现代化，统筹发展和安全，实现经济行稳致远、社会安定和谐，奋力开创大埔苏区振兴发展新局面，确保全面建设社会主义现代化国家新征程开好局、起好步，为广东在全面建设社会主义现代化国家新征程中走在全国前列、梅州建设宜居宜业宜游“世界客都</w:t>
      </w:r>
      <w:r>
        <w:rPr>
          <w:rFonts w:hint="eastAsia" w:ascii="仿宋" w:hAnsi="微软雅黑" w:eastAsia="微软雅黑" w:cs="微软雅黑"/>
          <w:sz w:val="32"/>
          <w:szCs w:val="32"/>
        </w:rPr>
        <w:t>•</w:t>
      </w:r>
      <w:r>
        <w:rPr>
          <w:rFonts w:hint="eastAsia" w:ascii="仿宋" w:hAnsi="仿宋" w:eastAsia="仿宋" w:cs="仿宋_GB2312"/>
          <w:sz w:val="32"/>
          <w:szCs w:val="32"/>
        </w:rPr>
        <w:t>长寿梅州”贡献大埔力量。</w:t>
      </w:r>
    </w:p>
    <w:p w14:paraId="2E443808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三、“十四五”期间及二〇三五年发展目标</w:t>
      </w:r>
    </w:p>
    <w:p w14:paraId="2290B05F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（一）到二</w:t>
      </w:r>
      <w:r>
        <w:rPr>
          <w:rFonts w:hint="eastAsia" w:ascii="楷体" w:hAnsi="楷体" w:eastAsia="楷体" w:cs="微软雅黑"/>
          <w:b/>
          <w:bCs/>
          <w:sz w:val="32"/>
          <w:szCs w:val="32"/>
        </w:rPr>
        <w:t>〇</w:t>
      </w:r>
      <w:r>
        <w:rPr>
          <w:rFonts w:hint="eastAsia" w:ascii="楷体" w:hAnsi="楷体" w:eastAsia="楷体" w:cs="仿宋_GB2312"/>
          <w:b/>
          <w:bCs/>
          <w:sz w:val="32"/>
          <w:szCs w:val="32"/>
        </w:rPr>
        <w:t>三五年基本实现社会主义现代化远景目标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展望2</w:t>
      </w:r>
      <w:r>
        <w:rPr>
          <w:rFonts w:ascii="仿宋" w:hAnsi="仿宋" w:eastAsia="仿宋"/>
          <w:sz w:val="32"/>
          <w:szCs w:val="32"/>
        </w:rPr>
        <w:t>035</w:t>
      </w:r>
      <w:r>
        <w:rPr>
          <w:rFonts w:hint="eastAsia" w:ascii="仿宋" w:hAnsi="仿宋" w:eastAsia="仿宋"/>
          <w:sz w:val="32"/>
          <w:szCs w:val="32"/>
        </w:rPr>
        <w:t>年，经过3个五年的努力和发展，大埔</w:t>
      </w:r>
      <w:r>
        <w:rPr>
          <w:rFonts w:ascii="仿宋" w:hAnsi="仿宋" w:eastAsia="仿宋"/>
          <w:sz w:val="32"/>
          <w:szCs w:val="32"/>
        </w:rPr>
        <w:t>后发展欠发达地区的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>情</w:t>
      </w:r>
      <w:r>
        <w:rPr>
          <w:rFonts w:hint="eastAsia" w:ascii="仿宋" w:hAnsi="仿宋" w:eastAsia="仿宋"/>
          <w:sz w:val="32"/>
          <w:szCs w:val="32"/>
        </w:rPr>
        <w:t>发生根本性改变，全县综合实力将大幅跃升，全面缩小与地区平均发展水平差距；基本实现新型工业化、信息化、城镇化、农业现代化，现代化经济体系基本建成；生态环境优势更加凸显，绿色生产生活方式总体形成，美丽大埔基本建成；文化软实力显著增强，特色文化品牌享誉海内外，人民群众思想道德、文明素养显著提高；全面融入重大区域发展战略和新发展格局，开放型经济发展水平明显提升；基本实现</w:t>
      </w:r>
      <w:r>
        <w:rPr>
          <w:rFonts w:hint="eastAsia" w:ascii="仿宋" w:hAnsi="仿宋" w:eastAsia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/>
          <w:sz w:val="32"/>
          <w:szCs w:val="32"/>
        </w:rPr>
        <w:t>治理体系和治理能力现代化，人民平等参与、平等发展权利得到充分保障，法治大埔、平安大埔、信用大埔基本建成；实现基本公共服务均等化和基础设施均衡通达，人民基本生活更加美好更为宽裕，城乡区域发展差距和居民生活水平差距显著缩小，人的全面发展、全体人民共同富裕得到更为明显的实质性进展。</w:t>
      </w:r>
    </w:p>
    <w:p w14:paraId="2F057327">
      <w:pPr>
        <w:pStyle w:val="1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（二）“十四五”期间发展目标。</w:t>
      </w:r>
      <w:r>
        <w:rPr>
          <w:rFonts w:hint="eastAsia" w:ascii="仿宋" w:hAnsi="仿宋" w:eastAsia="仿宋" w:cs="仿宋_GB2312"/>
          <w:sz w:val="32"/>
          <w:szCs w:val="32"/>
        </w:rPr>
        <w:t>锚定二</w:t>
      </w:r>
      <w:r>
        <w:rPr>
          <w:rFonts w:hint="eastAsia" w:ascii="仿宋" w:hAnsi="仿宋" w:eastAsia="仿宋" w:cs="微软雅黑"/>
          <w:sz w:val="32"/>
          <w:szCs w:val="32"/>
        </w:rPr>
        <w:t>〇</w:t>
      </w:r>
      <w:r>
        <w:rPr>
          <w:rFonts w:hint="eastAsia" w:ascii="仿宋" w:hAnsi="仿宋" w:eastAsia="仿宋" w:cs="仿宋_GB2312"/>
          <w:sz w:val="32"/>
          <w:szCs w:val="32"/>
        </w:rPr>
        <w:t>三五年远景目标，综合考虑国内外发展趋势和大埔发展条件，今后五年实现以下主要目标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A4B86E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综合实力实现新跨越。经济保持平稳较快发展，力争实现地区生产总值、人均地区生产总值、城乡居民收入同步协调增长，全县综合实力和可持续发展能力显著增强，经济总量和人均水平在全市排名力争实现提档进位。</w:t>
      </w:r>
    </w:p>
    <w:p w14:paraId="48E544C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质效提升取得新进展。农业现代化取得新进展，陶瓷、电力等传统工业提质增效明显，文化旅游、大健康等特色服务业加快发展，新兴产业发展取得突破，科技创新、消费升级对经济发展增长带动作用日益增强。</w:t>
      </w:r>
    </w:p>
    <w:p w14:paraId="083DE704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城乡融合形成新局面。“两新一重”建设取得明显成效，“对外大联通，对内大循环”的交通基础设施网络基本成形，基础设施支撑经济社会高质量发展的能力全面提升，县域城镇空间格局进一步优化，中心城区补短板强弱项、重点镇提质升级、乡村全面振兴等取得明显进展，城乡资源配置更加合理，城乡加快协调、融合发展。</w:t>
      </w:r>
    </w:p>
    <w:p w14:paraId="6C24D2A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生态建设取得新成效。水、大气、土壤等环境质量持续改善，主要污染物排放总量控制在市下达目标内，生态优势得以巩固，资源节约集约利用水平进一步提升，人居环境明显改善，生态文明制度建设取得新进展，绿色低碳发展理念在经济社会发展的各领域得到有效贯彻。</w:t>
      </w:r>
    </w:p>
    <w:p w14:paraId="0DBFC25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——改革开放取得新突破。重要领域和关键环节改革取得突破性进展，</w:t>
      </w:r>
      <w:r>
        <w:rPr>
          <w:rFonts w:hint="eastAsia" w:ascii="仿宋" w:hAnsi="仿宋" w:eastAsia="仿宋"/>
          <w:sz w:val="32"/>
          <w:szCs w:val="32"/>
          <w:lang w:eastAsia="zh-CN"/>
        </w:rPr>
        <w:t>国家</w:t>
      </w:r>
      <w:bookmarkStart w:id="7" w:name="_GoBack"/>
      <w:bookmarkEnd w:id="7"/>
      <w:r>
        <w:rPr>
          <w:rFonts w:hint="eastAsia" w:ascii="仿宋" w:hAnsi="仿宋" w:eastAsia="仿宋"/>
          <w:sz w:val="32"/>
          <w:szCs w:val="32"/>
        </w:rPr>
        <w:t>治理体系和治理能力现代化水平进一步提高，在省、市区域发展战略中的地位和作用不断增强，对外发展空间得到有效拓展，开放型经济发展水平全面提高。</w:t>
      </w:r>
    </w:p>
    <w:p w14:paraId="40885EC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——民生建设跃上新水平。构筑</w:t>
      </w:r>
      <w:r>
        <w:rPr>
          <w:rFonts w:ascii="仿宋" w:hAnsi="仿宋" w:eastAsia="仿宋"/>
          <w:sz w:val="32"/>
          <w:szCs w:val="32"/>
        </w:rPr>
        <w:t>稳定脱贫和逐步致富的长效机制</w:t>
      </w:r>
      <w:r>
        <w:rPr>
          <w:rFonts w:hint="eastAsia" w:ascii="仿宋" w:hAnsi="仿宋" w:eastAsia="仿宋"/>
          <w:sz w:val="32"/>
          <w:szCs w:val="32"/>
        </w:rPr>
        <w:t>，城乡居民就业质量和水平进一步提高，教育现代化、均衡化水平稳步提升，医疗服务水平不断提升，健康大埔建设取得良好效果，社会保障体系更加健全完善，基本公共服务均等化取得明显进展，社会更加安定和谐，人民生活满意度显著提高。</w:t>
      </w:r>
    </w:p>
    <w:p w14:paraId="78A69B04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四、优化区域发展布局，促进县域协调平衡联动发展</w:t>
      </w:r>
    </w:p>
    <w:p w14:paraId="4A41B7B4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立足原中央苏区县和国家重点生态功能区定位，主动融入全省、全市区域发展战略，优化区域发展布局和国土空间开发保护格局，促进县域协调平衡联动发展。</w:t>
      </w:r>
    </w:p>
    <w:p w14:paraId="33F45F5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（一）加强发展格局顶层设计。</w:t>
      </w:r>
      <w:r>
        <w:rPr>
          <w:rFonts w:hint="eastAsia" w:ascii="仿宋" w:hAnsi="仿宋" w:eastAsia="仿宋"/>
          <w:sz w:val="32"/>
          <w:szCs w:val="32"/>
        </w:rPr>
        <w:t>构建形成“一城引领、两带齐飞、三网联动、四区协调、五大行动”的战略发展布局。加快建设县域中心城市，推动粤北-海西陆海联动发展带、全域旅游环线经济带建设，协同推进交通、城镇、产业三张“网”规划建设，推动东部生态农业发展区、南部创意陶瓷工业区、西部休闲康养服务区和北部山林生态文化体验区协调发展，推进交通大建设、产业大跨越、城乡大提质、开放大突破、民生大改善五大行动。</w:t>
      </w:r>
    </w:p>
    <w:p w14:paraId="274A253D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（二）优化县域国土空间布局。</w:t>
      </w:r>
      <w:r>
        <w:rPr>
          <w:rFonts w:hint="eastAsia" w:ascii="仿宋" w:hAnsi="仿宋" w:eastAsia="仿宋"/>
          <w:sz w:val="32"/>
          <w:szCs w:val="32"/>
        </w:rPr>
        <w:t>推进国土空间规划编制实施，形成以国土空间规划为基础，以统一用途管制为手段的国土空间开发保护制度。优化调整自然保护地布局，构建科学合理的自然保护地体系，促进自然资源资产总量稳步增长。</w:t>
      </w:r>
    </w:p>
    <w:p w14:paraId="5578FD47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五、坚持实体经济优先，构建“2231”现代产业体系</w:t>
      </w:r>
    </w:p>
    <w:p w14:paraId="0657D03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把发展经济着力点放在实体经济上，构建形成“2231”现代产业体系，提升产业发展含“绿”量、含“智”量、含“新”量和含“金”量，推进产业基础高级化、产业链现代化，强化市场主体和产业园区建设，筑牢实体经济根基。</w:t>
      </w:r>
    </w:p>
    <w:p w14:paraId="33326CA7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（一）加快两大传统工业绿色转型升级。</w:t>
      </w:r>
      <w:r>
        <w:rPr>
          <w:rFonts w:hint="eastAsia" w:ascii="仿宋" w:hAnsi="仿宋" w:eastAsia="仿宋"/>
          <w:sz w:val="32"/>
          <w:szCs w:val="32"/>
        </w:rPr>
        <w:t>增强陶瓷产业综合竞争力，推动电力产业清洁高效发展，促进传统产业转型升级和绿色发展，切实巩固大埔工业发展基本盘。</w:t>
      </w:r>
    </w:p>
    <w:p w14:paraId="67E934B9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（二）促进文旅康养深度融合发展。</w:t>
      </w:r>
      <w:r>
        <w:rPr>
          <w:rFonts w:hint="eastAsia" w:ascii="仿宋" w:hAnsi="仿宋" w:eastAsia="仿宋"/>
          <w:sz w:val="32"/>
          <w:szCs w:val="32"/>
        </w:rPr>
        <w:t>按照国家全域旅游示范区建设要求，充分整合“红绿古”三色资源优势，完善县域旅游景区、旅游线路、配套设施及综合服务体系，着力打造红色文化旅游带、古色文化旅游带、生态康养休闲带、陶瓷创意体验带等旅游经济带，促进交通与旅游融合发展，加强旅游景区和文旅产业集聚区建设，提升文化旅游产业发展水平。发挥“世界长寿乡”品牌优势，构建形成以休闲养生、药膳疗养、休闲体育、特色医疗、国际学术交流为主体的大健康产业体系，打造国际健康养生度假胜地。</w:t>
      </w:r>
    </w:p>
    <w:p w14:paraId="74D6AEB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（三）培育发展三大新兴产业。</w:t>
      </w:r>
      <w:r>
        <w:rPr>
          <w:rFonts w:hint="eastAsia" w:ascii="仿宋" w:hAnsi="仿宋" w:eastAsia="仿宋"/>
          <w:sz w:val="32"/>
          <w:szCs w:val="32"/>
        </w:rPr>
        <w:t>大力发展数字经济，推动数字产业化、产业数字化，支持运用数字技术开展服务模式和业态创新，提升电子商务、智慧旅游、智慧物流、融媒体等发展水平。积极发展中医药产业，稳步扩大中医药种植规模，创新发展药膳产业，开发具有大埔特色的药食同源产品及相关保健品。探索发展陶瓷新材料、稀土新材料等新材料产业。</w:t>
      </w:r>
    </w:p>
    <w:p w14:paraId="703812C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（四）大力发展现代服务业。</w:t>
      </w:r>
      <w:r>
        <w:rPr>
          <w:rFonts w:hint="eastAsia" w:ascii="仿宋" w:hAnsi="仿宋" w:eastAsia="仿宋"/>
          <w:sz w:val="32"/>
          <w:szCs w:val="32"/>
        </w:rPr>
        <w:t>大力发展现代物流业，建立完善现代商贸物流体系。大力发展普惠金融，积极发展农村金融，探索发展绿色金融，增强金融服务实体经济能力。依托新一代信息技术的推广应用，鼓励发展现代服务业新业态新模式。</w:t>
      </w:r>
    </w:p>
    <w:p w14:paraId="67D9613E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（五）提升园区发展水平。</w:t>
      </w:r>
      <w:r>
        <w:rPr>
          <w:rFonts w:hint="eastAsia" w:ascii="仿宋" w:hAnsi="仿宋" w:eastAsia="仿宋"/>
          <w:sz w:val="32"/>
          <w:szCs w:val="32"/>
        </w:rPr>
        <w:t>做好园区空间规划指引，加大园区土地集约节约利用，完善园区基础设施和公服配套，推动重点园区高质量发展。</w:t>
      </w:r>
    </w:p>
    <w:p w14:paraId="4C816147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（六）培育壮大市场主体。</w:t>
      </w:r>
      <w:r>
        <w:rPr>
          <w:rFonts w:hint="eastAsia" w:ascii="仿宋" w:hAnsi="仿宋" w:eastAsia="仿宋"/>
          <w:sz w:val="32"/>
          <w:szCs w:val="32"/>
        </w:rPr>
        <w:t>加强市场主体建设，发展壮大龙头企业，培育专精特新中小微企业。</w:t>
      </w:r>
    </w:p>
    <w:p w14:paraId="04CB54E0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六、实施创新驱动发展战略，培育经济发展新动能</w:t>
      </w:r>
    </w:p>
    <w:p w14:paraId="7738A6AC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坚持创新在现代化建设全局中的核心地位，以提升科技成果转化和产业化能力为主攻方向，强化创新平台和体系建设，培育壮大创新主体和创新人才，培育形成经济发展新动能。</w:t>
      </w:r>
    </w:p>
    <w:p w14:paraId="71E7C2E9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（一）强化创新平台和协同创新体系建设。</w:t>
      </w:r>
      <w:r>
        <w:rPr>
          <w:rFonts w:hint="eastAsia" w:ascii="仿宋" w:hAnsi="仿宋" w:eastAsia="仿宋"/>
          <w:sz w:val="32"/>
          <w:szCs w:val="32"/>
        </w:rPr>
        <w:t>加强科创平台建设，着力提升现有产业园区科创能力，搭建创新创业平台。主动融入大湾区国际科技创新中心体系，加强与粤港澳大湾区等地区科技创新合作，切实把握重点领域科技创新方向和成果转化、产业化进程。</w:t>
      </w:r>
    </w:p>
    <w:p w14:paraId="00911EDD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（二）提升科技成果转化和产业化能力。</w:t>
      </w:r>
      <w:r>
        <w:rPr>
          <w:rFonts w:hint="eastAsia" w:ascii="仿宋" w:hAnsi="仿宋" w:eastAsia="仿宋"/>
          <w:sz w:val="32"/>
          <w:szCs w:val="32"/>
        </w:rPr>
        <w:t>在农副产品加工、陶瓷制造、新兴产业等领域加强科研投入，支持企业参与</w:t>
      </w:r>
      <w:r>
        <w:rPr>
          <w:rFonts w:ascii="仿宋" w:hAnsi="仿宋" w:eastAsia="仿宋"/>
          <w:sz w:val="32"/>
          <w:szCs w:val="32"/>
        </w:rPr>
        <w:t>组建产业技术创新联盟，争取在重大共性关键技术研发上取得突破</w:t>
      </w:r>
      <w:r>
        <w:rPr>
          <w:rFonts w:hint="eastAsia" w:ascii="仿宋" w:hAnsi="仿宋" w:eastAsia="仿宋"/>
          <w:sz w:val="32"/>
          <w:szCs w:val="32"/>
        </w:rPr>
        <w:t>。探索与广州及其他大湾区城市、园区、知名院校合作设立“创新飞地”，促进优秀科技成果在大埔实现产业化。</w:t>
      </w:r>
    </w:p>
    <w:p w14:paraId="1E198C3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（三）构建完善创新激励长效机制。</w:t>
      </w:r>
      <w:r>
        <w:rPr>
          <w:rFonts w:hint="eastAsia" w:ascii="仿宋" w:hAnsi="仿宋" w:eastAsia="仿宋"/>
          <w:sz w:val="32"/>
          <w:szCs w:val="32"/>
        </w:rPr>
        <w:t>建立以企业为主体的技术创新机制，优化完善创新企业培育政策，强化科技创新和成果转化的激励机制。</w:t>
      </w:r>
    </w:p>
    <w:p w14:paraId="63BEF54C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（四）加大创新人才引进培养力度。</w:t>
      </w:r>
      <w:r>
        <w:rPr>
          <w:rFonts w:hint="eastAsia" w:ascii="仿宋" w:hAnsi="仿宋" w:eastAsia="仿宋"/>
          <w:sz w:val="32"/>
          <w:szCs w:val="32"/>
        </w:rPr>
        <w:t>围绕服务优势产业和转型发展，构建“创新型、应用型、技能型、管理型”人才体系，做好对科技人员、返乡农民工、大学生创业的引导和支持，</w:t>
      </w:r>
      <w:r>
        <w:rPr>
          <w:rFonts w:ascii="仿宋" w:hAnsi="仿宋" w:eastAsia="仿宋"/>
          <w:sz w:val="32"/>
          <w:szCs w:val="32"/>
        </w:rPr>
        <w:t>加强人才服务保障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7FC456C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七、积极融入新发展格局，拓展现代化建设新空间</w:t>
      </w:r>
    </w:p>
    <w:p w14:paraId="6B1ED80E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坚持扩大内需战略基点，统筹推进供给侧结构性改革和需求侧改革，更好利用国内国际两个市场、两种资源，增强融入国内大循环和参与国内国际双循环的功能，为现代化建设拓展新空间。</w:t>
      </w:r>
    </w:p>
    <w:p w14:paraId="1D0E8804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（一）融入国内大循环。</w:t>
      </w:r>
      <w:r>
        <w:rPr>
          <w:rFonts w:hint="eastAsia" w:ascii="仿宋" w:hAnsi="仿宋" w:eastAsia="仿宋"/>
          <w:sz w:val="32"/>
          <w:szCs w:val="32"/>
        </w:rPr>
        <w:t>依托强大国内市场，推动生产、分配、流通、消费各环节更好融入和服务国内大循环，实现人流、物流、信息流、资金流等四个维度的全面提升，有效融入区域性产业链供应链体系。</w:t>
      </w:r>
    </w:p>
    <w:p w14:paraId="670A9B3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（二）参与国内国际双循环。</w:t>
      </w:r>
      <w:r>
        <w:rPr>
          <w:rFonts w:hint="eastAsia" w:ascii="仿宋" w:hAnsi="仿宋" w:eastAsia="仿宋"/>
          <w:sz w:val="32"/>
          <w:szCs w:val="32"/>
        </w:rPr>
        <w:t>积极融入区域性统一市场，建立完善能够与沿海发达地区相衔接的制度体系、要素市场和营商环境，积极开拓多元市场，深化与共建“一带一路”国家的贸易合作，增强与区域全面经济伙伴关系协定（RCEP）的国家贸易投资往来。充分发挥大埔华侨华人优势，在推动国内国际双循环中做好“侨”的文章。</w:t>
      </w:r>
    </w:p>
    <w:p w14:paraId="46D8E01D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（三）全面促进消费升级。</w:t>
      </w:r>
      <w:r>
        <w:rPr>
          <w:rFonts w:hint="eastAsia" w:ascii="仿宋" w:hAnsi="仿宋" w:eastAsia="仿宋"/>
          <w:sz w:val="32"/>
          <w:szCs w:val="32"/>
        </w:rPr>
        <w:t>促进汽车、家电、餐饮、新型信息产品等实物消费提档升级，推动健康养老、教育、文旅、夜间消费等服务消费提质扩容，营造良好消费环境。</w:t>
      </w:r>
    </w:p>
    <w:p w14:paraId="7691F11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（四）积极扩大有效投资。</w:t>
      </w:r>
      <w:r>
        <w:rPr>
          <w:rFonts w:hint="eastAsia" w:ascii="仿宋" w:hAnsi="仿宋" w:eastAsia="仿宋"/>
          <w:sz w:val="32"/>
          <w:szCs w:val="32"/>
        </w:rPr>
        <w:t>积极谋划“两新一重”建设项目，促进产业投资稳定增长，构建完善多元投融资体制，大力拓展投融资渠道。</w:t>
      </w:r>
    </w:p>
    <w:p w14:paraId="1BEF6B56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八、强化“两新一重”建设，提升发展基础配套能力</w:t>
      </w:r>
    </w:p>
    <w:p w14:paraId="6D579DC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进以人为核心的新型城镇化进程，超前布局新型基础设施体系，建立与县城、重点城镇发展相适应的重大基础设施支撑体系，增强城镇空间集聚力与容纳力，提升经济社会发展基础支撑能力和公共服务配套水平。</w:t>
      </w:r>
    </w:p>
    <w:p w14:paraId="4328EF89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（一）深入推进新型城镇化建设。</w:t>
      </w:r>
      <w:r>
        <w:rPr>
          <w:rFonts w:hint="eastAsia" w:ascii="仿宋" w:hAnsi="仿宋" w:eastAsia="仿宋"/>
          <w:sz w:val="32"/>
          <w:szCs w:val="32"/>
        </w:rPr>
        <w:t>构建完善城镇发展格局，进一步拉开县城发展框架，提升中心镇综合承载能力，推动其他城镇“各美其美”联动发展。统筹推进老旧小区改造，加大城镇市政交通、公共服务、环境卫生等领域补短板强弱项，统筹城市规划、建设、治理，加快推进城市治理体系和治理能力现代化，促进县城、中心镇、小城镇协调发展。</w:t>
      </w:r>
    </w:p>
    <w:p w14:paraId="4A14BCD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（二）超前布局新型基础设施体系。</w:t>
      </w:r>
      <w:r>
        <w:rPr>
          <w:rFonts w:hint="eastAsia" w:ascii="仿宋" w:hAnsi="仿宋" w:eastAsia="仿宋"/>
          <w:sz w:val="32"/>
          <w:szCs w:val="32"/>
        </w:rPr>
        <w:t>统筹部署新型网络基础设施，加快推进5G基站建设，实施光纤宽带普及提速工程，适时布局</w:t>
      </w:r>
      <w:r>
        <w:rPr>
          <w:rFonts w:ascii="仿宋" w:hAnsi="仿宋" w:eastAsia="仿宋"/>
          <w:sz w:val="32"/>
          <w:szCs w:val="32"/>
        </w:rPr>
        <w:t>工业互联网、人工智能、数据中心等新型数字设施。</w:t>
      </w:r>
      <w:r>
        <w:rPr>
          <w:rFonts w:hint="eastAsia" w:ascii="仿宋" w:hAnsi="仿宋" w:eastAsia="仿宋"/>
          <w:sz w:val="32"/>
          <w:szCs w:val="32"/>
        </w:rPr>
        <w:t>推进新融合基础设施建设，加快交通、能源、物流等领域数字化、智能化改造。</w:t>
      </w:r>
    </w:p>
    <w:p w14:paraId="46711FE3">
      <w:pPr>
        <w:pStyle w:val="1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（三）打造通达便捷的综合交通体系。</w:t>
      </w:r>
      <w:r>
        <w:rPr>
          <w:rFonts w:hint="eastAsia" w:ascii="仿宋" w:hAnsi="仿宋" w:eastAsia="仿宋"/>
          <w:sz w:val="32"/>
          <w:szCs w:val="32"/>
        </w:rPr>
        <w:t>加快构建“枢纽型、便捷型、服务型”交通发展新格局，有效畅通与粤港澳大湾区、厦漳泉、汕潮揭等区域之间的交通连接，构建绿色安全、便捷快速、城乡一体的公共交通体系，形成“对外大连通、对内大循环”交通大网络。</w:t>
      </w:r>
    </w:p>
    <w:p w14:paraId="16517421">
      <w:pPr>
        <w:pStyle w:val="1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（四）构建清洁高效安全的能源保障体系。</w:t>
      </w:r>
      <w:r>
        <w:rPr>
          <w:rFonts w:hint="eastAsia" w:ascii="仿宋" w:hAnsi="仿宋" w:eastAsia="仿宋"/>
          <w:sz w:val="32"/>
          <w:szCs w:val="32"/>
        </w:rPr>
        <w:t>推进清洁能源开发利用，统筹做好火电、水电、光伏发电等工作，加强城乡电网改造升级。</w:t>
      </w:r>
    </w:p>
    <w:p w14:paraId="41466E0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（五）完善稳固利民的水利设施体系。</w:t>
      </w:r>
      <w:r>
        <w:rPr>
          <w:rFonts w:hint="eastAsia" w:ascii="仿宋" w:hAnsi="仿宋" w:eastAsia="仿宋"/>
          <w:sz w:val="32"/>
          <w:szCs w:val="32"/>
        </w:rPr>
        <w:t>完善防洪减灾安全保障体系和水资源安全保障体系，积极推进数字水利设施建设。</w:t>
      </w:r>
    </w:p>
    <w:p w14:paraId="0A0AFEB8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九、实施乡村振兴战略，推进农业农村现代化</w:t>
      </w:r>
    </w:p>
    <w:p w14:paraId="7FCA9A5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全面实施乡村振兴战略，以发展精细农业、建设精美农村、培养精勤农民为主攻方向，实施乡村建设行动，促进农业全面升级、农村全面进步、农民全面发展，推动农业农村现代化。</w:t>
      </w:r>
    </w:p>
    <w:p w14:paraId="3A076C6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（一）加快发展现代高效农业。</w:t>
      </w:r>
      <w:r>
        <w:rPr>
          <w:rFonts w:hint="eastAsia" w:ascii="仿宋" w:hAnsi="仿宋" w:eastAsia="仿宋"/>
          <w:sz w:val="32"/>
          <w:szCs w:val="32"/>
        </w:rPr>
        <w:t>增强农业综合保障能力，提高粮食综合生产能力，做优做强蜜柚产业、做精做特茶叶产业，大力发展林下经济，提升养殖、渔业发展水平。推进农村一二三产业融合发展，大力发展蜜柚、茶叶等加工业，积极培育“体验式”休闲农业。建立现代新型农业经营体系，强化农业科技质量品牌建设。</w:t>
      </w:r>
    </w:p>
    <w:p w14:paraId="1736C57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（二）积极实施乡村建设行动。</w:t>
      </w:r>
      <w:r>
        <w:rPr>
          <w:rFonts w:hint="eastAsia" w:ascii="仿宋" w:hAnsi="仿宋" w:eastAsia="仿宋"/>
          <w:sz w:val="32"/>
          <w:szCs w:val="32"/>
        </w:rPr>
        <w:t>加强农村人居环境整治，完善农村污水处理、垃圾收运处理体系，健全农村环境整治长效机制。强化乡村建设规划和示范引领，加强村庄公共空间及庭院环境整治，打造客家特色村庄与农房风貌。积极创建生态宜居美丽示范乡村。</w:t>
      </w:r>
    </w:p>
    <w:p w14:paraId="450A24E6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（三）加强乡村人才队伍建设。</w:t>
      </w:r>
      <w:r>
        <w:rPr>
          <w:rFonts w:hint="eastAsia" w:ascii="仿宋" w:hAnsi="仿宋" w:eastAsia="仿宋"/>
          <w:sz w:val="32"/>
          <w:szCs w:val="32"/>
        </w:rPr>
        <w:t>建立健全职业农民培养制度，加强高素质农民培养。围绕生产型、经营型、技能服务型、技能带动型、社会服务型，有计划地培养中高层次农村实用人才。积极打造农村电商人才队伍。推进科技特派员制度向二、三产业延伸覆盖。</w:t>
      </w:r>
    </w:p>
    <w:p w14:paraId="59D92D6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（四）深化农村重点领域改革。</w:t>
      </w:r>
      <w:r>
        <w:rPr>
          <w:rFonts w:hint="eastAsia" w:ascii="仿宋" w:hAnsi="仿宋" w:eastAsia="仿宋"/>
          <w:sz w:val="32"/>
          <w:szCs w:val="32"/>
        </w:rPr>
        <w:t>落实第二轮土地承包到期后再延长三十年政策，</w:t>
      </w:r>
      <w:r>
        <w:rPr>
          <w:rFonts w:ascii="仿宋" w:hAnsi="仿宋" w:eastAsia="仿宋"/>
          <w:sz w:val="32"/>
          <w:szCs w:val="32"/>
        </w:rPr>
        <w:t>积极稳妥</w:t>
      </w:r>
      <w:r>
        <w:rPr>
          <w:rFonts w:hint="eastAsia" w:ascii="仿宋" w:hAnsi="仿宋" w:eastAsia="仿宋"/>
          <w:sz w:val="32"/>
          <w:szCs w:val="32"/>
        </w:rPr>
        <w:t>推进农村土地制度改革。</w:t>
      </w:r>
      <w:r>
        <w:rPr>
          <w:rFonts w:ascii="仿宋" w:hAnsi="仿宋" w:eastAsia="仿宋"/>
          <w:sz w:val="32"/>
          <w:szCs w:val="32"/>
        </w:rPr>
        <w:t>保障进城落户农民土地承包权、宅基地使用权、集体收益分配权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发展壮大新型农村集体经济</w:t>
      </w:r>
      <w:r>
        <w:rPr>
          <w:rFonts w:hint="eastAsia" w:ascii="仿宋" w:hAnsi="仿宋" w:eastAsia="仿宋"/>
          <w:sz w:val="32"/>
          <w:szCs w:val="32"/>
        </w:rPr>
        <w:t>。强化乡村振兴财政资金投入保障。</w:t>
      </w:r>
      <w:r>
        <w:rPr>
          <w:rFonts w:ascii="仿宋" w:hAnsi="仿宋" w:eastAsia="仿宋"/>
          <w:sz w:val="32"/>
          <w:szCs w:val="32"/>
        </w:rPr>
        <w:t>健全城乡融合发展体制机制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E8CE0C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（五）巩固拓展脱贫攻坚成果。</w:t>
      </w:r>
      <w:r>
        <w:rPr>
          <w:rFonts w:hint="eastAsia" w:ascii="仿宋" w:hAnsi="仿宋" w:eastAsia="仿宋"/>
          <w:sz w:val="32"/>
          <w:szCs w:val="32"/>
        </w:rPr>
        <w:t>促进巩固拓展脱贫攻坚成果同乡村振兴有效衔接，完善防止返贫监测和帮扶机制，健全稳定可持续的脱贫长效机制。</w:t>
      </w:r>
    </w:p>
    <w:p w14:paraId="664537A5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十、加快建设美丽大埔，筑牢绿色可持续发展屏障</w:t>
      </w:r>
    </w:p>
    <w:p w14:paraId="2AD977EF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贯彻习近平生态文明思想，立足国家重点生态功能区定位，加强生态建设与环境保护，大力发展生态经济，努力打造青山常在、绿水长流、空气常新的美丽大埔。</w:t>
      </w:r>
    </w:p>
    <w:p w14:paraId="07F9579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（一）加大生态建设力度。</w:t>
      </w:r>
      <w:r>
        <w:rPr>
          <w:rFonts w:hint="eastAsia" w:ascii="仿宋" w:hAnsi="仿宋" w:eastAsia="仿宋"/>
          <w:sz w:val="32"/>
          <w:szCs w:val="32"/>
        </w:rPr>
        <w:t>统筹推进山水林田湖草系统治理，围绕森林植被、流域生态、水土保持、矿山生态等重点领域，科学合理、精准有安排生态修复与建设工程，提升重点生态系统质量和稳定性。</w:t>
      </w:r>
    </w:p>
    <w:p w14:paraId="7445F8C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（二）强化环境综合治理。</w:t>
      </w:r>
      <w:r>
        <w:rPr>
          <w:rFonts w:hint="eastAsia" w:ascii="仿宋" w:hAnsi="仿宋" w:eastAsia="仿宋"/>
          <w:sz w:val="32"/>
          <w:szCs w:val="32"/>
        </w:rPr>
        <w:t>坚持预防为主、综合治理，持续推进水、大气、土壤三大污染防治攻坚战，持续改善县域环境质量。提升环境监测监管能力，加大环境违法案件查处力度。</w:t>
      </w:r>
    </w:p>
    <w:p w14:paraId="458BEFB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（三）大力发展生态经济。</w:t>
      </w:r>
      <w:r>
        <w:rPr>
          <w:rFonts w:hint="eastAsia" w:ascii="仿宋" w:hAnsi="仿宋" w:eastAsia="仿宋"/>
          <w:sz w:val="32"/>
          <w:szCs w:val="32"/>
        </w:rPr>
        <w:t>积极推进产业生态化，推动循环农业发展，深化工业清洁生产，持续推进节能降耗。探索实现生态产业化，推动绿色产品和生态服务资产化。加大生态文明建设宣传教育力度，倡导绿色生活消费方式。</w:t>
      </w:r>
    </w:p>
    <w:p w14:paraId="09DE0C27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（四）创新生态文明体制机制。</w:t>
      </w:r>
      <w:r>
        <w:rPr>
          <w:rFonts w:hint="eastAsia" w:ascii="仿宋" w:hAnsi="仿宋" w:eastAsia="仿宋"/>
          <w:sz w:val="32"/>
          <w:szCs w:val="32"/>
        </w:rPr>
        <w:t>健全生态文明绩效评价和考核体系，完善生态环境保护市场化机制，探索生态产品价值实现机制，完善生态保护补偿机制。</w:t>
      </w:r>
    </w:p>
    <w:p w14:paraId="0F5959E6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十一、持续强化人文引领，提升大埔文化软实力</w:t>
      </w:r>
    </w:p>
    <w:p w14:paraId="01E7E8AC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定以社会主义核心价值观引领文化建设，强化客家文化保护传承，弘扬老区苏区精神，着力塑造特色文化品牌，丰富人民群众精神文化生活，推动文化事业全面繁荣、文化产业快速发展，切实提升大埔文化软实力。</w:t>
      </w:r>
    </w:p>
    <w:p w14:paraId="2A8A613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（一）加强历史文化保护与传承。</w:t>
      </w:r>
      <w:r>
        <w:rPr>
          <w:rFonts w:hint="eastAsia" w:ascii="仿宋" w:hAnsi="仿宋" w:eastAsia="仿宋"/>
          <w:sz w:val="32"/>
          <w:szCs w:val="32"/>
        </w:rPr>
        <w:t>加强历史文化遗迹保护，加强各类文化遗迹的科学修复和合理利用。坚持“修旧如故，以存其真”的原则，做好特色城乡历史风貌保护与适度开发，提升古村落知名度和美誉度。</w:t>
      </w:r>
    </w:p>
    <w:p w14:paraId="7ED8B338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（二）着力塑造特色文化品牌。</w:t>
      </w:r>
      <w:r>
        <w:rPr>
          <w:rFonts w:hint="eastAsia" w:ascii="仿宋" w:hAnsi="仿宋" w:eastAsia="仿宋"/>
          <w:sz w:val="32"/>
          <w:szCs w:val="32"/>
        </w:rPr>
        <w:t>着力塑造“客家香格里拉”客家文化品牌、“三河坝”红色文化品牌、“大埔青花瓷”陶瓷文化品牌、“世界长寿乡”健康文化品牌和“非遗”民俗文化品牌。</w:t>
      </w:r>
    </w:p>
    <w:p w14:paraId="51A624E9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（三）提升公共文化服务水平。</w:t>
      </w:r>
      <w:r>
        <w:rPr>
          <w:rFonts w:hint="eastAsia" w:ascii="仿宋" w:hAnsi="仿宋" w:eastAsia="仿宋"/>
          <w:sz w:val="32"/>
          <w:szCs w:val="32"/>
        </w:rPr>
        <w:t>加强城乡文化设施建设，实现县城“十分钟文化圈”、农村“十里文化圈”。加大高品质文化服务供给，实施文化惠民工程，引导鼓励社会力量、社会资本参与公共文化服务建设。</w:t>
      </w:r>
    </w:p>
    <w:p w14:paraId="59ACD462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（四）加强社会主义精神文明建设。</w:t>
      </w:r>
      <w:r>
        <w:rPr>
          <w:rFonts w:hint="eastAsia" w:ascii="仿宋" w:hAnsi="仿宋" w:eastAsia="仿宋"/>
          <w:sz w:val="32"/>
          <w:szCs w:val="32"/>
        </w:rPr>
        <w:t>着力提高社会文明程度，深入开展市、县、镇、村“四级联创”，加快推进文明城市、文明村镇、文明家庭、文明校园创建活动。全面提升市民文明素质，加强爱国主义、集体主义、社会主义教育，</w:t>
      </w:r>
      <w:r>
        <w:rPr>
          <w:rFonts w:ascii="仿宋" w:hAnsi="仿宋" w:eastAsia="仿宋"/>
          <w:sz w:val="32"/>
          <w:szCs w:val="32"/>
        </w:rPr>
        <w:t>全面推进公民思想道德建设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F6AA03B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十二、全面深化改革攻坚，增创开放发展新优势</w:t>
      </w:r>
    </w:p>
    <w:p w14:paraId="4B4D284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深化供给侧结构性改革为主线，推动有效市场与有为政府更好结合，持续优化营商环境，深化重点领域改革，建立健全苏区政策长效对接机制，探索打造粤闽经济互动关键节点，提升开放型经济发展水平，增创开放发展新优势。</w:t>
      </w:r>
    </w:p>
    <w:p w14:paraId="76CF98D5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（一）持续优化营商环境。</w:t>
      </w:r>
      <w:r>
        <w:rPr>
          <w:rFonts w:hint="eastAsia" w:ascii="仿宋" w:hAnsi="仿宋" w:eastAsia="仿宋"/>
          <w:sz w:val="32"/>
          <w:szCs w:val="32"/>
        </w:rPr>
        <w:t>继续深化“放管服”改革，落实减税降费政策，加快社会信用体系建设，完善市场监管体系，切实激发市场主体活力。</w:t>
      </w:r>
    </w:p>
    <w:p w14:paraId="4AD7933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（二）深化重点领域改革。</w:t>
      </w:r>
      <w:r>
        <w:rPr>
          <w:rFonts w:hint="eastAsia" w:ascii="仿宋" w:hAnsi="仿宋" w:eastAsia="仿宋"/>
          <w:sz w:val="32"/>
          <w:szCs w:val="32"/>
        </w:rPr>
        <w:t>建立资金、用地、用能等资源要素随项目走的机制，强化重大项目用地保障，推进财税体制改革，聚焦国企国资、民营经济、教育科技、公共卫生、人才体制、防灾备灾、社会治理、司法体制等领域，谋划推出更有针对性、操作性的改革举措。</w:t>
      </w:r>
    </w:p>
    <w:p w14:paraId="7BD71B7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（三）建立健全苏区政策长效对接机制。</w:t>
      </w:r>
      <w:r>
        <w:rPr>
          <w:rFonts w:hint="eastAsia" w:ascii="仿宋" w:hAnsi="仿宋" w:eastAsia="仿宋"/>
          <w:sz w:val="32"/>
          <w:szCs w:val="32"/>
        </w:rPr>
        <w:t>建立健全原中央苏区政策对接机制，建立军民融合发展促进机制，用足用好广东省支持原中央苏区振兴发展专项政策。</w:t>
      </w:r>
    </w:p>
    <w:p w14:paraId="03E6986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（四）打造粤闽经济互动关键节点。</w:t>
      </w:r>
      <w:r>
        <w:rPr>
          <w:rFonts w:hint="eastAsia" w:ascii="仿宋" w:hAnsi="仿宋" w:eastAsia="仿宋"/>
          <w:sz w:val="32"/>
          <w:szCs w:val="32"/>
        </w:rPr>
        <w:t>深度对接“双区”所需，打造“双区”果盘子、菜篮子、米袋子、茶罐子、水缸子“五子登科”和“双区”高端养生养老基地。促进与汕潮揭、厦漳泉陆海联动发展，共同打造粤港澳农产品直供基地和承接产业转移基地。搭建产业转移和成果转化承接平台，积极融入区域性统一市场。</w:t>
      </w:r>
    </w:p>
    <w:p w14:paraId="54ACA320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（五）提升开放型经济发展水平。</w:t>
      </w:r>
      <w:r>
        <w:rPr>
          <w:rFonts w:hint="eastAsia" w:ascii="仿宋" w:hAnsi="仿宋" w:eastAsia="仿宋"/>
          <w:sz w:val="32"/>
          <w:szCs w:val="32"/>
        </w:rPr>
        <w:t>紧紧围绕主导产业、城乡融合、社会民生等重点领域，高水平推进招商引资。持续扩大对外开放，打造多层次、多内涵的国际文化交流合作平台，用好侨资侨力，拓宽对外交流合作渠道。</w:t>
      </w:r>
    </w:p>
    <w:p w14:paraId="7F0A71A8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十三、全面增进民生福祉，扩大公共服务新供给</w:t>
      </w:r>
    </w:p>
    <w:p w14:paraId="74E8EEB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牢固树立以人民为中心的发展思想，全面贯彻保居民就业、保基本民生的社会政策，坚持和完善统筹城乡的民生保障制度，健全基本公共服务体系，不断增强人民群众获得感、幸福感、安全感，不断满足人民日益增长的美好生活需要。</w:t>
      </w:r>
    </w:p>
    <w:p w14:paraId="0772333C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（一）确保居民就业增收。</w:t>
      </w:r>
      <w:r>
        <w:rPr>
          <w:rFonts w:hint="eastAsia" w:ascii="仿宋" w:hAnsi="仿宋" w:eastAsia="仿宋"/>
          <w:sz w:val="32"/>
          <w:szCs w:val="32"/>
        </w:rPr>
        <w:t>多渠道促进就业创业，做好重点群体就业工作，加强职业技能培训。坚持居民收入增长和经济增长同步、劳动报酬提高和劳动生产率提高同步，持续增加城乡居民收入。</w:t>
      </w:r>
    </w:p>
    <w:p w14:paraId="005020D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（二）推动教育增量提质。</w:t>
      </w:r>
      <w:r>
        <w:rPr>
          <w:rFonts w:hint="eastAsia" w:ascii="仿宋" w:hAnsi="仿宋" w:eastAsia="仿宋"/>
          <w:sz w:val="32"/>
          <w:szCs w:val="32"/>
        </w:rPr>
        <w:t>全面普及普惠发展学前教育，推进义务教育优质均衡发展，</w:t>
      </w:r>
      <w:bookmarkStart w:id="0" w:name="_Toc55245026"/>
      <w:r>
        <w:rPr>
          <w:rFonts w:hint="eastAsia" w:ascii="仿宋" w:hAnsi="仿宋" w:eastAsia="仿宋"/>
          <w:sz w:val="32"/>
          <w:szCs w:val="32"/>
        </w:rPr>
        <w:t>做大做强职业教育，完善特殊教育、继续教育、社区教育、非学历教育培训等保障机制，加强教育师资和信息化建设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0C91ACC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（三）深化健康大埔建设。</w:t>
      </w:r>
      <w:r>
        <w:rPr>
          <w:rFonts w:hint="eastAsia" w:ascii="仿宋" w:hAnsi="仿宋" w:eastAsia="仿宋"/>
          <w:sz w:val="32"/>
          <w:szCs w:val="32"/>
        </w:rPr>
        <w:t>着力抓好医疗卫生机构综合服务能力建设，推进紧密型医共体建设，提升全县医疗卫生救治能力和服务水平。倡导健康生活方式，推进全民体育活动。</w:t>
      </w:r>
    </w:p>
    <w:p w14:paraId="27593CB0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（四）完善社会保障体系。</w:t>
      </w:r>
      <w:r>
        <w:rPr>
          <w:rFonts w:hint="eastAsia" w:ascii="仿宋" w:hAnsi="仿宋" w:eastAsia="仿宋"/>
          <w:sz w:val="32"/>
          <w:szCs w:val="32"/>
        </w:rPr>
        <w:t>强化困难群众基本生活保障，</w:t>
      </w:r>
      <w:bookmarkStart w:id="1" w:name="_Toc55245033"/>
      <w:r>
        <w:rPr>
          <w:rFonts w:hint="eastAsia" w:ascii="仿宋" w:hAnsi="仿宋" w:eastAsia="仿宋"/>
          <w:sz w:val="32"/>
          <w:szCs w:val="32"/>
        </w:rPr>
        <w:t>构建多层次社会保险体系</w:t>
      </w:r>
      <w:bookmarkEnd w:id="1"/>
      <w:r>
        <w:rPr>
          <w:rFonts w:hint="eastAsia" w:ascii="仿宋" w:hAnsi="仿宋" w:eastAsia="仿宋"/>
          <w:sz w:val="32"/>
          <w:szCs w:val="32"/>
        </w:rPr>
        <w:t>，</w:t>
      </w:r>
      <w:bookmarkStart w:id="2" w:name="_Toc55245034"/>
      <w:r>
        <w:rPr>
          <w:rFonts w:hint="eastAsia" w:ascii="仿宋" w:hAnsi="仿宋" w:eastAsia="仿宋"/>
          <w:sz w:val="32"/>
          <w:szCs w:val="32"/>
        </w:rPr>
        <w:t>强化基层社会救助服务能力，加强特殊群体关爱救助</w:t>
      </w:r>
      <w:bookmarkEnd w:id="2"/>
      <w:r>
        <w:rPr>
          <w:rFonts w:hint="eastAsia" w:ascii="仿宋" w:hAnsi="仿宋" w:eastAsia="仿宋"/>
          <w:sz w:val="32"/>
          <w:szCs w:val="32"/>
        </w:rPr>
        <w:t>。</w:t>
      </w:r>
    </w:p>
    <w:p w14:paraId="016D1B3E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（五）积极应对人口老龄化。</w:t>
      </w:r>
      <w:r>
        <w:rPr>
          <w:rFonts w:hint="eastAsia" w:ascii="仿宋" w:hAnsi="仿宋" w:eastAsia="仿宋"/>
          <w:sz w:val="32"/>
          <w:szCs w:val="32"/>
        </w:rPr>
        <w:t>实施积极应对人口老龄化国家战略，提高优生优育服务水平，构建覆盖城乡的养老保障体系。</w:t>
      </w:r>
    </w:p>
    <w:p w14:paraId="5CCDF5A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（六）创新社会治理体制。</w:t>
      </w:r>
      <w:r>
        <w:rPr>
          <w:rFonts w:hint="eastAsia" w:ascii="仿宋" w:hAnsi="仿宋" w:eastAsia="仿宋"/>
          <w:sz w:val="32"/>
          <w:szCs w:val="32"/>
        </w:rPr>
        <w:t>完善共建共治共享的社会治理制度，健全基层社会治理体系，推进城乡社区治理和乡镇政府服务能力建设。</w:t>
      </w:r>
    </w:p>
    <w:p w14:paraId="69D91915">
      <w:pPr>
        <w:pStyle w:val="17"/>
        <w:rPr>
          <w:rFonts w:ascii="黑体" w:hAnsi="黑体" w:eastAsia="黑体"/>
          <w:sz w:val="32"/>
          <w:szCs w:val="32"/>
        </w:rPr>
      </w:pPr>
      <w:bookmarkStart w:id="3" w:name="_Hlk59615910"/>
      <w:r>
        <w:rPr>
          <w:rFonts w:hint="eastAsia" w:ascii="黑体" w:hAnsi="黑体" w:eastAsia="黑体"/>
          <w:sz w:val="32"/>
          <w:szCs w:val="32"/>
        </w:rPr>
        <w:t>十四、统筹发展和安全，建设更高水平的平安大埔</w:t>
      </w:r>
    </w:p>
    <w:bookmarkEnd w:id="3"/>
    <w:p w14:paraId="68785F16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深入贯彻总体国家安全观，把安全发展贯穿发展各领域和全过程，防范和化解影响现代化进程的各种风险，守住安全发展底线，强化梅州“平安之乡”先行地建设，建设更高水平的平安大埔。</w:t>
      </w:r>
    </w:p>
    <w:p w14:paraId="26A41689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（一）加强国家安全体系和能力建设。</w:t>
      </w:r>
      <w:r>
        <w:rPr>
          <w:rFonts w:hint="eastAsia" w:ascii="仿宋" w:hAnsi="仿宋" w:eastAsia="仿宋"/>
          <w:sz w:val="32"/>
          <w:szCs w:val="32"/>
        </w:rPr>
        <w:t>严格落实国家安全责任制，坚定维护国家政权安全和制度安全，加强意识形态安全，加强网络、学校、青年等重要阵地管理建设，强化网络安全保障体系和能力建设，加强国防动员建设。</w:t>
      </w:r>
    </w:p>
    <w:p w14:paraId="668020B2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（二）确保经济安全。</w:t>
      </w:r>
      <w:r>
        <w:rPr>
          <w:rFonts w:hint="eastAsia" w:ascii="仿宋" w:hAnsi="仿宋" w:eastAsia="仿宋"/>
          <w:sz w:val="32"/>
          <w:szCs w:val="32"/>
        </w:rPr>
        <w:t>全面加强经济安全风险预警、防控机制和能力建设，维护重要基础设施及战略资源安全。着力防范化解金融领域风险，牢牢守住政府债务限额警戒线。确保生态安全，维护新型领域安全。</w:t>
      </w:r>
    </w:p>
    <w:p w14:paraId="3AB2DE11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（三）保障人民群众生命安全。</w:t>
      </w:r>
      <w:r>
        <w:rPr>
          <w:rFonts w:hint="eastAsia" w:ascii="仿宋" w:hAnsi="仿宋" w:eastAsia="仿宋"/>
          <w:sz w:val="32"/>
          <w:szCs w:val="32"/>
        </w:rPr>
        <w:t>加强安全生产管理，健全食品药品安全体系，完善疫苗管理长效机制，</w:t>
      </w:r>
      <w:bookmarkStart w:id="4" w:name="_Toc43110328"/>
      <w:bookmarkStart w:id="5" w:name="_Toc55245060"/>
      <w:r>
        <w:rPr>
          <w:rFonts w:hint="eastAsia" w:ascii="仿宋" w:hAnsi="仿宋" w:eastAsia="仿宋"/>
          <w:sz w:val="32"/>
          <w:szCs w:val="32"/>
        </w:rPr>
        <w:t>提升自然灾害、突然公共卫生事件、应急救援等领域的应急管理和防灾减灾能力</w:t>
      </w:r>
      <w:bookmarkEnd w:id="4"/>
      <w:bookmarkEnd w:id="5"/>
      <w:r>
        <w:rPr>
          <w:rFonts w:hint="eastAsia" w:ascii="仿宋" w:hAnsi="仿宋" w:eastAsia="仿宋"/>
          <w:sz w:val="32"/>
          <w:szCs w:val="32"/>
        </w:rPr>
        <w:t>。</w:t>
      </w:r>
    </w:p>
    <w:p w14:paraId="0FBCF5A7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（四）维护社会稳定和安全。</w:t>
      </w:r>
      <w:r>
        <w:rPr>
          <w:rFonts w:hint="eastAsia" w:ascii="仿宋" w:hAnsi="仿宋" w:eastAsia="仿宋"/>
          <w:sz w:val="32"/>
          <w:szCs w:val="32"/>
        </w:rPr>
        <w:t>完善社会矛盾纠纷多元预防化解机制，建立完善社会治安防控体系，</w:t>
      </w:r>
      <w:bookmarkStart w:id="6" w:name="_Toc55245052"/>
      <w:r>
        <w:rPr>
          <w:rFonts w:hint="eastAsia" w:ascii="仿宋" w:hAnsi="仿宋" w:eastAsia="仿宋"/>
          <w:sz w:val="32"/>
          <w:szCs w:val="32"/>
        </w:rPr>
        <w:t>打造梅州“平安之乡”先行地</w:t>
      </w:r>
      <w:bookmarkEnd w:id="6"/>
      <w:r>
        <w:rPr>
          <w:rFonts w:hint="eastAsia" w:ascii="仿宋" w:hAnsi="仿宋" w:eastAsia="仿宋"/>
          <w:sz w:val="32"/>
          <w:szCs w:val="32"/>
        </w:rPr>
        <w:t>。</w:t>
      </w:r>
    </w:p>
    <w:p w14:paraId="5818DD8A">
      <w:pPr>
        <w:pStyle w:val="1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十五、加强规划实施保障</w:t>
      </w:r>
    </w:p>
    <w:p w14:paraId="09E5B73B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坚持党的领导，完善规划体系，创新完善规划实施机制，增强规划约束性，强化监督考评，确保规划有效实施。</w:t>
      </w:r>
    </w:p>
    <w:p w14:paraId="04D6A51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（一）加强党的全面领导。</w:t>
      </w:r>
      <w:r>
        <w:rPr>
          <w:rFonts w:hint="eastAsia" w:ascii="仿宋" w:hAnsi="仿宋" w:eastAsia="仿宋"/>
          <w:sz w:val="32"/>
          <w:szCs w:val="32"/>
        </w:rPr>
        <w:t>持续深入学习贯彻习近平新时代中国特色社会主义思想，增强“四个意识”、坚定“四个自信”、做到“两个维护”，充分发挥党总揽全局、协调各方的领导核心作用。加强民主法治建设。强化政府主体责任。</w:t>
      </w:r>
    </w:p>
    <w:p w14:paraId="32744A94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（二）强化规划统筹协调。</w:t>
      </w:r>
      <w:r>
        <w:rPr>
          <w:rFonts w:hint="eastAsia" w:ascii="仿宋" w:hAnsi="仿宋" w:eastAsia="仿宋"/>
          <w:sz w:val="32"/>
          <w:szCs w:val="32"/>
        </w:rPr>
        <w:t>加强规划指导，实现“多规合一”，统筹编制各级各类规划，确保将“十四五”规划各项任务落到实处。</w:t>
      </w:r>
    </w:p>
    <w:p w14:paraId="6F0E023A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（三）完善规划实施机制。</w:t>
      </w:r>
      <w:r>
        <w:rPr>
          <w:rFonts w:hint="eastAsia" w:ascii="仿宋" w:hAnsi="仿宋" w:eastAsia="仿宋"/>
          <w:sz w:val="32"/>
          <w:szCs w:val="32"/>
        </w:rPr>
        <w:t>制定实施计划，强化重大项目落地，加强政策和资源要素供给，强化法治保障，提高规划的统筹管理水平和执行效果。</w:t>
      </w:r>
    </w:p>
    <w:p w14:paraId="6DBFCBC3">
      <w:pPr>
        <w:pStyle w:val="17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（四）注重实施监督考评。</w:t>
      </w:r>
      <w:r>
        <w:rPr>
          <w:rFonts w:hint="eastAsia" w:ascii="仿宋" w:hAnsi="仿宋" w:eastAsia="仿宋"/>
          <w:sz w:val="32"/>
          <w:szCs w:val="32"/>
        </w:rPr>
        <w:t>建立科学合理的政府考核机制，完善监督评估，加强规划宣传，推动社会公众参与，形成全社会关心规划、参与实施和共同监督的良好氛围。</w:t>
      </w:r>
    </w:p>
    <w:p w14:paraId="6E887165">
      <w:pPr>
        <w:pStyle w:val="17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832857"/>
      <w:docPartObj>
        <w:docPartGallery w:val="AutoText"/>
      </w:docPartObj>
    </w:sdtPr>
    <w:sdtContent>
      <w:p w14:paraId="4FC4D9F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0AB"/>
    <w:rsid w:val="00014F29"/>
    <w:rsid w:val="000425F9"/>
    <w:rsid w:val="00044681"/>
    <w:rsid w:val="000640CE"/>
    <w:rsid w:val="000A634A"/>
    <w:rsid w:val="000B79B3"/>
    <w:rsid w:val="000C09D2"/>
    <w:rsid w:val="000C60D0"/>
    <w:rsid w:val="000E7921"/>
    <w:rsid w:val="000F265A"/>
    <w:rsid w:val="00104177"/>
    <w:rsid w:val="001325D7"/>
    <w:rsid w:val="001369C7"/>
    <w:rsid w:val="00146305"/>
    <w:rsid w:val="00196364"/>
    <w:rsid w:val="001969AB"/>
    <w:rsid w:val="001A6419"/>
    <w:rsid w:val="001E3F58"/>
    <w:rsid w:val="001E7930"/>
    <w:rsid w:val="00246BD6"/>
    <w:rsid w:val="00276440"/>
    <w:rsid w:val="00277E67"/>
    <w:rsid w:val="002A0A8E"/>
    <w:rsid w:val="002A5983"/>
    <w:rsid w:val="002E747E"/>
    <w:rsid w:val="003033CD"/>
    <w:rsid w:val="00314C15"/>
    <w:rsid w:val="00332588"/>
    <w:rsid w:val="0036290C"/>
    <w:rsid w:val="00377A54"/>
    <w:rsid w:val="003A36A2"/>
    <w:rsid w:val="003B4B03"/>
    <w:rsid w:val="0042001D"/>
    <w:rsid w:val="00433E2A"/>
    <w:rsid w:val="00445F6C"/>
    <w:rsid w:val="00461790"/>
    <w:rsid w:val="004669D1"/>
    <w:rsid w:val="00475D6F"/>
    <w:rsid w:val="0049130C"/>
    <w:rsid w:val="004A7D1B"/>
    <w:rsid w:val="004B7A98"/>
    <w:rsid w:val="004C385D"/>
    <w:rsid w:val="004C78B6"/>
    <w:rsid w:val="004C7A10"/>
    <w:rsid w:val="00520605"/>
    <w:rsid w:val="005510AC"/>
    <w:rsid w:val="0055293D"/>
    <w:rsid w:val="005534AA"/>
    <w:rsid w:val="005623AB"/>
    <w:rsid w:val="00566FCF"/>
    <w:rsid w:val="00575DA5"/>
    <w:rsid w:val="005B79A0"/>
    <w:rsid w:val="005C0F8E"/>
    <w:rsid w:val="005C7FDB"/>
    <w:rsid w:val="005E0354"/>
    <w:rsid w:val="005E23FE"/>
    <w:rsid w:val="0060632E"/>
    <w:rsid w:val="0060745B"/>
    <w:rsid w:val="00633193"/>
    <w:rsid w:val="006333C0"/>
    <w:rsid w:val="006352A8"/>
    <w:rsid w:val="0063772E"/>
    <w:rsid w:val="00637900"/>
    <w:rsid w:val="00655C98"/>
    <w:rsid w:val="0067354B"/>
    <w:rsid w:val="006A4BB3"/>
    <w:rsid w:val="006B3604"/>
    <w:rsid w:val="006D38D1"/>
    <w:rsid w:val="0071290B"/>
    <w:rsid w:val="00723C48"/>
    <w:rsid w:val="00730D1D"/>
    <w:rsid w:val="007B1DC3"/>
    <w:rsid w:val="007C59DF"/>
    <w:rsid w:val="00876DA9"/>
    <w:rsid w:val="008F539F"/>
    <w:rsid w:val="00910DFD"/>
    <w:rsid w:val="00974023"/>
    <w:rsid w:val="00980A0C"/>
    <w:rsid w:val="00991E4B"/>
    <w:rsid w:val="009A4108"/>
    <w:rsid w:val="009B3468"/>
    <w:rsid w:val="009E7BAD"/>
    <w:rsid w:val="009F3698"/>
    <w:rsid w:val="00A06908"/>
    <w:rsid w:val="00A13621"/>
    <w:rsid w:val="00A61870"/>
    <w:rsid w:val="00A70E2A"/>
    <w:rsid w:val="00A87D49"/>
    <w:rsid w:val="00A91510"/>
    <w:rsid w:val="00AA7DEE"/>
    <w:rsid w:val="00B2366F"/>
    <w:rsid w:val="00B31804"/>
    <w:rsid w:val="00B82A1D"/>
    <w:rsid w:val="00B901C5"/>
    <w:rsid w:val="00BC3EF9"/>
    <w:rsid w:val="00BC5A73"/>
    <w:rsid w:val="00BD4969"/>
    <w:rsid w:val="00BF7FA8"/>
    <w:rsid w:val="00C323E1"/>
    <w:rsid w:val="00C408B5"/>
    <w:rsid w:val="00C463C9"/>
    <w:rsid w:val="00C46AD5"/>
    <w:rsid w:val="00C70AC6"/>
    <w:rsid w:val="00C722E1"/>
    <w:rsid w:val="00C83BAC"/>
    <w:rsid w:val="00CB70AB"/>
    <w:rsid w:val="00CE0F1F"/>
    <w:rsid w:val="00D1705F"/>
    <w:rsid w:val="00D248CF"/>
    <w:rsid w:val="00D269FD"/>
    <w:rsid w:val="00D314D3"/>
    <w:rsid w:val="00DA483E"/>
    <w:rsid w:val="00DE727B"/>
    <w:rsid w:val="00E06AF4"/>
    <w:rsid w:val="00E33B61"/>
    <w:rsid w:val="00E345D8"/>
    <w:rsid w:val="00E6243B"/>
    <w:rsid w:val="00E67797"/>
    <w:rsid w:val="00E912B7"/>
    <w:rsid w:val="00EA21BF"/>
    <w:rsid w:val="00EB7F0B"/>
    <w:rsid w:val="00EC6B61"/>
    <w:rsid w:val="00ED17BC"/>
    <w:rsid w:val="00F14AC6"/>
    <w:rsid w:val="00FB2E9E"/>
    <w:rsid w:val="00FE42BC"/>
    <w:rsid w:val="03433F84"/>
    <w:rsid w:val="03E56DE9"/>
    <w:rsid w:val="0842480A"/>
    <w:rsid w:val="08AE00F1"/>
    <w:rsid w:val="1EDF0BAD"/>
    <w:rsid w:val="53650979"/>
    <w:rsid w:val="5ED110D1"/>
    <w:rsid w:val="6BEA3CBA"/>
    <w:rsid w:val="6D4F2026"/>
    <w:rsid w:val="76856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13"/>
    <w:qFormat/>
    <w:uiPriority w:val="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333333"/>
      <w:u w:val="none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3 Char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8605</Words>
  <Characters>8638</Characters>
  <Lines>61</Lines>
  <Paragraphs>17</Paragraphs>
  <TotalTime>262</TotalTime>
  <ScaleCrop>false</ScaleCrop>
  <LinksUpToDate>false</LinksUpToDate>
  <CharactersWithSpaces>8638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2015-12-14T00:29:00Z</dcterms:created>
  <dc:creator>Lenovo</dc:creator>
  <cp:lastModifiedBy>牧牧</cp:lastModifiedBy>
  <dcterms:modified xsi:type="dcterms:W3CDTF">2025-12-17T02:24:13Z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eyJoZGlkIjoiNjBmZDQ3M2RmNjIxNWQ5YmU5MDY2ZDcwYzZiMzdhMGMiLCJ1c2VySWQiOiIxMjk5NzEwMzc0In0=</vt:lpwstr>
  </property>
  <property fmtid="{D5CDD505-2E9C-101B-9397-08002B2CF9AE}" pid="3" name="KSOProductBuildVer">
    <vt:lpwstr>2052-12.1.0.24034</vt:lpwstr>
  </property>
  <property fmtid="{D5CDD505-2E9C-101B-9397-08002B2CF9AE}" pid="4" name="ICV">
    <vt:lpwstr>295CD05D3ADA4F0FBCBD079C7DA0060D_12</vt:lpwstr>
  </property>
</Properties>
</file>