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6" w:rsidRDefault="00263FC6" w:rsidP="00263FC6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263FC6" w:rsidRDefault="00263FC6" w:rsidP="00263FC6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263FC6" w:rsidRDefault="00263FC6" w:rsidP="00263FC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养老机构基本条件告知书</w:t>
      </w:r>
    </w:p>
    <w:p w:rsidR="00263FC6" w:rsidRDefault="00263FC6" w:rsidP="00263FC6">
      <w:pPr>
        <w:spacing w:line="55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63FC6" w:rsidRDefault="00263FC6" w:rsidP="00263FC6">
      <w:pPr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 w:rsidR="00263FC6" w:rsidRDefault="00263FC6" w:rsidP="00263FC6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当符合《中华人民共和国建筑法》、《中华人民共和国消防法》、《无障碍环境建设条例》、《社会福利机构消防安全管理十项规定》、《广东省民办社会福利机构管理规定》等法律法规，以及《老年人照料设施建筑设计标准》（住房城乡建设部公告2018年第35号）、《建筑设计防火规范》（住房城乡建设部公告2018年第36号）等国家标准或者行业标准规定的安全生产和消防安全条件，并符合环境影响评价分类管理要求。依照《中华人民共和国安全生产法》第17条规定，不具备安全生产条件的，不得从事经营服务活动。</w:t>
      </w:r>
    </w:p>
    <w:p w:rsidR="00263FC6" w:rsidRDefault="00263FC6" w:rsidP="00263FC6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应当符合《养老机构管理办法》规章。</w:t>
      </w:r>
    </w:p>
    <w:p w:rsidR="00263FC6" w:rsidRDefault="00263FC6" w:rsidP="00263FC6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 w:rsidR="00263FC6" w:rsidRDefault="00263FC6" w:rsidP="00263FC6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 w:rsidR="00263FC6" w:rsidRDefault="00263FC6" w:rsidP="00263FC6">
      <w:pPr>
        <w:pStyle w:val="2"/>
        <w:keepNext w:val="0"/>
        <w:keepLines w:val="0"/>
        <w:numPr>
          <w:ilvl w:val="0"/>
          <w:numId w:val="0"/>
        </w:numPr>
        <w:spacing w:line="550" w:lineRule="exact"/>
        <w:ind w:firstLineChars="200" w:firstLine="640"/>
        <w:jc w:val="left"/>
        <w:rPr>
          <w:rFonts w:ascii="黑体" w:eastAsia="黑体" w:hAnsi="黑体" w:cs="黑体"/>
          <w:kern w:val="0"/>
        </w:rPr>
      </w:pPr>
      <w:r>
        <w:rPr>
          <w:rFonts w:ascii="仿宋_GB2312" w:eastAsia="仿宋_GB2312" w:hAnsi="仿宋_GB2312" w:cs="仿宋_GB2312" w:hint="eastAsia"/>
          <w:b w:val="0"/>
        </w:rPr>
        <w:t>5</w:t>
      </w:r>
      <w:r>
        <w:rPr>
          <w:rFonts w:ascii="仿宋_GB2312" w:eastAsia="仿宋_GB2312" w:hAnsi="仿宋_GB2312" w:cs="仿宋_GB2312" w:hint="eastAsia"/>
          <w:b w:val="0"/>
          <w:bCs w:val="0"/>
          <w:kern w:val="0"/>
        </w:rPr>
        <w:t>.法律法规规定的其他条件。</w:t>
      </w:r>
    </w:p>
    <w:p w:rsidR="00E731AA" w:rsidRPr="00263FC6" w:rsidRDefault="00FD66A2"/>
    <w:sectPr w:rsidR="00E731AA" w:rsidRPr="00263FC6" w:rsidSect="004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A2" w:rsidRDefault="00FD66A2" w:rsidP="00263FC6">
      <w:r>
        <w:separator/>
      </w:r>
    </w:p>
  </w:endnote>
  <w:endnote w:type="continuationSeparator" w:id="1">
    <w:p w:rsidR="00FD66A2" w:rsidRDefault="00FD66A2" w:rsidP="00263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A2" w:rsidRDefault="00FD66A2" w:rsidP="00263FC6">
      <w:r>
        <w:separator/>
      </w:r>
    </w:p>
  </w:footnote>
  <w:footnote w:type="continuationSeparator" w:id="1">
    <w:p w:rsidR="00FD66A2" w:rsidRDefault="00FD66A2" w:rsidP="00263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05C"/>
    <w:multiLevelType w:val="multilevel"/>
    <w:tmpl w:val="16F5605C"/>
    <w:lvl w:ilvl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21F8BD"/>
    <w:multiLevelType w:val="singleLevel"/>
    <w:tmpl w:val="5C21F8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FC6"/>
    <w:rsid w:val="00045F5B"/>
    <w:rsid w:val="00263FC6"/>
    <w:rsid w:val="004264D6"/>
    <w:rsid w:val="00B758D1"/>
    <w:rsid w:val="00CA1EDA"/>
    <w:rsid w:val="00FD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C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FC6"/>
    <w:pPr>
      <w:keepNext/>
      <w:keepLines/>
      <w:numPr>
        <w:numId w:val="1"/>
      </w:numPr>
      <w:ind w:left="0" w:firstLine="0"/>
      <w:outlineLvl w:val="1"/>
    </w:pPr>
    <w:rPr>
      <w:rFonts w:ascii="Arial" w:eastAsia="楷体_GB2312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F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3FC6"/>
    <w:rPr>
      <w:rFonts w:ascii="Arial" w:eastAsia="楷体_GB2312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2019-11-27T09:15:00Z</dcterms:created>
  <dcterms:modified xsi:type="dcterms:W3CDTF">2019-11-27T09:16:00Z</dcterms:modified>
</cp:coreProperties>
</file>