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djustRightInd w:val="false"/>
        <w:snapToGrid w:val="false"/>
        <w:spacing w:beforeLines="50" w:afterLines="50" w:lineRule="auto" w:line="360"/>
        <w:jc w:val="center"/>
        <w:rPr>
          <w:rFonts w:ascii="黑体" w:cs="黑体" w:eastAsia="黑体" w:hAnsi="黑体" w:hint="eastAsia"/>
          <w:sz w:val="36"/>
          <w:szCs w:val="36"/>
        </w:rPr>
      </w:pPr>
    </w:p>
    <w:p>
      <w:pPr>
        <w:pStyle w:val="style0"/>
        <w:adjustRightInd w:val="false"/>
        <w:snapToGrid w:val="false"/>
        <w:spacing w:beforeLines="50" w:afterLines="50" w:lineRule="auto" w:line="360"/>
        <w:jc w:val="center"/>
        <w:rPr>
          <w:rFonts w:ascii="黑体" w:eastAsia="黑体" w:hAnsi="黑体"/>
          <w:b/>
          <w:bCs/>
          <w:sz w:val="44"/>
          <w:szCs w:val="44"/>
        </w:rPr>
      </w:pPr>
      <w:r>
        <w:rPr>
          <w:rFonts w:ascii="黑体" w:cs="黑体" w:eastAsia="黑体" w:hAnsi="黑体" w:hint="eastAsia"/>
          <w:b/>
          <w:bCs/>
          <w:sz w:val="44"/>
          <w:szCs w:val="44"/>
        </w:rPr>
        <w:t>广东粤电大埔电厂二期工程</w:t>
      </w:r>
      <w:r>
        <w:rPr>
          <w:rFonts w:ascii="黑体" w:cs="黑体" w:eastAsia="黑体" w:hAnsi="黑体" w:hint="eastAsia"/>
          <w:b/>
          <w:bCs/>
          <w:sz w:val="44"/>
          <w:szCs w:val="44"/>
          <w:lang w:val="en-US" w:eastAsia="zh-CN"/>
        </w:rPr>
        <w:t>项目建设</w:t>
      </w:r>
      <w:r>
        <w:rPr>
          <w:rFonts w:ascii="黑体" w:cs="黑体" w:eastAsia="黑体" w:hAnsi="黑体" w:hint="eastAsia"/>
          <w:b/>
          <w:bCs/>
          <w:sz w:val="44"/>
          <w:szCs w:val="44"/>
        </w:rPr>
        <w:t>社会稳定风险</w:t>
      </w:r>
      <w:r>
        <w:rPr>
          <w:rFonts w:ascii="黑体" w:cs="黑体" w:eastAsia="黑体" w:hAnsi="黑体" w:hint="eastAsia"/>
          <w:b/>
          <w:bCs/>
          <w:sz w:val="44"/>
          <w:szCs w:val="44"/>
          <w:lang w:val="en-US" w:eastAsia="zh-CN"/>
        </w:rPr>
        <w:t>调查</w:t>
      </w:r>
      <w:r>
        <w:rPr>
          <w:rFonts w:ascii="黑体" w:eastAsia="黑体" w:hAnsi="黑体"/>
          <w:b/>
          <w:bCs/>
          <w:sz w:val="44"/>
          <w:szCs w:val="44"/>
        </w:rPr>
        <w:t>公示</w:t>
      </w:r>
    </w:p>
    <w:p>
      <w:pPr>
        <w:pStyle w:val="style28"/>
        <w:spacing w:lineRule="auto" w:line="360"/>
        <w:rPr/>
      </w:pPr>
    </w:p>
    <w:p>
      <w:pPr>
        <w:pStyle w:val="style0"/>
        <w:adjustRightInd w:val="false"/>
        <w:snapToGrid w:val="false"/>
        <w:spacing w:lineRule="auto" w:line="360"/>
        <w:ind w:firstLine="640" w:firstLineChars="200"/>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根据《广东省发展改革委关于印发重大项目社会稳定风险评估暂行办法的通知》（粤发改重点〔2012〕1095号）的要求，广东粤电大埔电厂二期工程</w:t>
      </w:r>
      <w:r>
        <w:rPr>
          <w:rFonts w:ascii="仿宋_GB2312" w:cs="仿宋_GB2312" w:eastAsia="仿宋_GB2312" w:hAnsi="仿宋_GB2312" w:hint="eastAsia"/>
          <w:sz w:val="32"/>
          <w:szCs w:val="32"/>
          <w:lang w:val="en-US" w:eastAsia="zh-CN"/>
        </w:rPr>
        <w:t>项目建设</w:t>
      </w:r>
      <w:r>
        <w:rPr>
          <w:rFonts w:ascii="仿宋_GB2312" w:cs="黑体" w:eastAsia="仿宋_GB2312" w:hAnsi="黑体" w:hint="eastAsia"/>
          <w:color w:val="000000"/>
          <w:sz w:val="32"/>
          <w:szCs w:val="32"/>
          <w:lang w:val="en-US" w:eastAsia="zh-CN"/>
        </w:rPr>
        <w:t>现</w:t>
      </w:r>
      <w:r>
        <w:rPr>
          <w:rFonts w:ascii="仿宋_GB2312" w:cs="黑体" w:eastAsia="仿宋_GB2312" w:hAnsi="黑体" w:hint="eastAsia"/>
          <w:color w:val="000000"/>
          <w:sz w:val="32"/>
          <w:szCs w:val="32"/>
        </w:rPr>
        <w:t>开展</w:t>
      </w:r>
      <w:r>
        <w:rPr>
          <w:rFonts w:ascii="仿宋_GB2312" w:cs="仿宋_GB2312" w:eastAsia="仿宋_GB2312" w:hAnsi="仿宋_GB2312" w:hint="eastAsia"/>
          <w:sz w:val="32"/>
          <w:szCs w:val="32"/>
        </w:rPr>
        <w:t>社会稳定风险</w:t>
      </w:r>
      <w:r>
        <w:rPr>
          <w:rFonts w:ascii="仿宋_GB2312" w:cs="仿宋_GB2312" w:eastAsia="仿宋_GB2312" w:hAnsi="仿宋_GB2312" w:hint="eastAsia"/>
          <w:sz w:val="32"/>
          <w:szCs w:val="32"/>
          <w:lang w:val="en-US" w:eastAsia="zh-CN"/>
        </w:rPr>
        <w:t>调查</w:t>
      </w:r>
      <w:r>
        <w:rPr>
          <w:rFonts w:ascii="仿宋_GB2312" w:cs="仿宋_GB2312" w:eastAsia="仿宋_GB2312" w:hAnsi="仿宋_GB2312" w:hint="eastAsia"/>
          <w:sz w:val="32"/>
          <w:szCs w:val="32"/>
        </w:rPr>
        <w:t>工作</w:t>
      </w:r>
      <w:r>
        <w:rPr>
          <w:rFonts w:ascii="仿宋_GB2312" w:cs="仿宋_GB2312" w:eastAsia="仿宋_GB2312" w:hAnsi="仿宋_GB2312" w:hint="eastAsia"/>
          <w:sz w:val="32"/>
          <w:szCs w:val="32"/>
          <w:lang w:eastAsia="zh-CN"/>
        </w:rPr>
        <w:t>。</w:t>
      </w:r>
      <w:r>
        <w:rPr>
          <w:rFonts w:ascii="仿宋_GB2312" w:cs="仿宋_GB2312" w:eastAsia="仿宋_GB2312" w:hAnsi="仿宋_GB2312" w:hint="eastAsia"/>
          <w:sz w:val="32"/>
          <w:szCs w:val="32"/>
        </w:rPr>
        <w:t>为广泛听取意见，进行公示，征求项目周边居民群众、社会团体和企事业单位等对项目建设实施的意见和建议。</w:t>
      </w:r>
    </w:p>
    <w:p>
      <w:pPr>
        <w:pStyle w:val="style28"/>
        <w:rPr/>
      </w:pPr>
    </w:p>
    <w:p>
      <w:pPr>
        <w:pStyle w:val="style0"/>
        <w:adjustRightInd w:val="false"/>
        <w:snapToGrid w:val="false"/>
        <w:spacing w:beforeLines="50" w:lineRule="auto" w:line="360"/>
        <w:ind w:firstLine="720" w:firstLineChars="200"/>
        <w:outlineLvl w:val="0"/>
        <w:rPr>
          <w:rFonts w:ascii="黑体" w:cs="仿宋_GB2312" w:eastAsia="黑体" w:hAnsi="黑体"/>
          <w:bCs/>
          <w:sz w:val="36"/>
          <w:szCs w:val="36"/>
        </w:rPr>
      </w:pPr>
      <w:r>
        <w:rPr>
          <w:rFonts w:ascii="黑体" w:cs="仿宋_GB2312" w:eastAsia="黑体" w:hAnsi="黑体" w:hint="eastAsia"/>
          <w:bCs/>
          <w:sz w:val="36"/>
          <w:szCs w:val="36"/>
        </w:rPr>
        <w:t>一、项目简介</w:t>
      </w:r>
    </w:p>
    <w:p>
      <w:pPr>
        <w:pStyle w:val="style0"/>
        <w:keepNext w:val="false"/>
        <w:keepLines w:val="false"/>
        <w:pageBreakBefore w:val="false"/>
        <w:kinsoku/>
        <w:wordWrap/>
        <w:overflowPunct/>
        <w:topLinePunct w:val="false"/>
        <w:bidi w:val="false"/>
        <w:adjustRightInd w:val="false"/>
        <w:snapToGrid w:val="false"/>
        <w:spacing w:lineRule="auto" w:line="360"/>
        <w:ind w:firstLine="643" w:firstLineChars="200"/>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b/>
          <w:bCs/>
          <w:sz w:val="32"/>
          <w:szCs w:val="32"/>
        </w:rPr>
        <w:t>1</w:t>
      </w:r>
      <w:r>
        <w:rPr>
          <w:rFonts w:ascii="仿宋_GB2312" w:cs="仿宋_GB2312" w:eastAsia="仿宋_GB2312" w:hAnsi="仿宋_GB2312" w:hint="eastAsia"/>
          <w:b/>
          <w:bCs/>
          <w:sz w:val="32"/>
          <w:szCs w:val="32"/>
          <w:lang w:val="en-US" w:eastAsia="zh-CN"/>
        </w:rPr>
        <w:t>.</w:t>
      </w:r>
      <w:r>
        <w:rPr>
          <w:rFonts w:ascii="仿宋_GB2312" w:cs="仿宋_GB2312" w:eastAsia="仿宋_GB2312" w:hAnsi="仿宋_GB2312" w:hint="eastAsia"/>
          <w:b/>
          <w:bCs/>
          <w:sz w:val="32"/>
          <w:szCs w:val="32"/>
        </w:rPr>
        <w:t>项目名称</w:t>
      </w:r>
      <w:r>
        <w:rPr>
          <w:rFonts w:ascii="仿宋_GB2312" w:cs="仿宋_GB2312" w:eastAsia="仿宋_GB2312" w:hAnsi="仿宋_GB2312" w:hint="eastAsia"/>
          <w:sz w:val="32"/>
          <w:szCs w:val="32"/>
        </w:rPr>
        <w:t>：广东粤电大埔电厂二期工程</w:t>
      </w: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3" w:firstLineChars="200"/>
        <w:jc w:val="left"/>
        <w:rPr>
          <w:rFonts w:ascii="仿宋_GB2312" w:cs="仿宋_GB2312" w:eastAsia="仿宋_GB2312" w:hAnsi="仿宋_GB2312"/>
          <w:sz w:val="32"/>
          <w:szCs w:val="32"/>
        </w:rPr>
      </w:pPr>
      <w:r>
        <w:rPr>
          <w:rFonts w:ascii="仿宋_GB2312" w:cs="仿宋_GB2312" w:eastAsia="仿宋_GB2312" w:hAnsi="仿宋_GB2312" w:hint="eastAsia"/>
          <w:b/>
          <w:bCs/>
          <w:sz w:val="32"/>
          <w:szCs w:val="32"/>
        </w:rPr>
        <w:t>2</w:t>
      </w:r>
      <w:r>
        <w:rPr>
          <w:rFonts w:ascii="仿宋_GB2312" w:cs="仿宋_GB2312" w:eastAsia="仿宋_GB2312" w:hAnsi="仿宋_GB2312" w:hint="eastAsia"/>
          <w:b/>
          <w:bCs/>
          <w:sz w:val="32"/>
          <w:szCs w:val="32"/>
          <w:lang w:val="en-US" w:eastAsia="zh-CN"/>
        </w:rPr>
        <w:t>.</w:t>
      </w:r>
      <w:r>
        <w:rPr>
          <w:rFonts w:ascii="仿宋_GB2312" w:cs="仿宋_GB2312" w:eastAsia="仿宋_GB2312" w:hAnsi="仿宋_GB2312" w:hint="eastAsia"/>
          <w:b/>
          <w:bCs/>
          <w:sz w:val="32"/>
          <w:szCs w:val="32"/>
        </w:rPr>
        <w:t>项目性质：</w:t>
      </w:r>
      <w:r>
        <w:rPr>
          <w:rFonts w:ascii="仿宋_GB2312" w:cs="仿宋_GB2312" w:eastAsia="仿宋_GB2312" w:hAnsi="仿宋_GB2312" w:hint="eastAsia"/>
          <w:sz w:val="32"/>
          <w:szCs w:val="32"/>
          <w:lang w:val="en-US" w:eastAsia="zh-CN"/>
        </w:rPr>
        <w:t>扩建</w:t>
      </w:r>
      <w:r>
        <w:rPr>
          <w:rFonts w:ascii="仿宋_GB2312" w:cs="仿宋_GB2312" w:eastAsia="仿宋_GB2312" w:hAnsi="仿宋_GB2312" w:hint="eastAsia"/>
          <w:sz w:val="32"/>
          <w:szCs w:val="32"/>
        </w:rPr>
        <w:t>项目</w:t>
      </w: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3" w:firstLineChars="200"/>
        <w:jc w:val="left"/>
        <w:rPr>
          <w:rFonts w:ascii="仿宋_GB2312" w:cs="仿宋_GB2312" w:eastAsia="仿宋_GB2312" w:hAnsi="仿宋_GB2312" w:hint="eastAsia"/>
          <w:sz w:val="32"/>
          <w:szCs w:val="32"/>
        </w:rPr>
      </w:pPr>
      <w:r>
        <w:rPr>
          <w:rFonts w:ascii="仿宋_GB2312" w:cs="仿宋_GB2312" w:eastAsia="仿宋_GB2312" w:hAnsi="仿宋_GB2312" w:hint="eastAsia"/>
          <w:b/>
          <w:bCs/>
          <w:sz w:val="32"/>
          <w:szCs w:val="32"/>
        </w:rPr>
        <w:t>3</w:t>
      </w:r>
      <w:r>
        <w:rPr>
          <w:rFonts w:ascii="仿宋_GB2312" w:cs="仿宋_GB2312" w:eastAsia="仿宋_GB2312" w:hAnsi="仿宋_GB2312" w:hint="eastAsia"/>
          <w:b/>
          <w:bCs/>
          <w:sz w:val="32"/>
          <w:szCs w:val="32"/>
          <w:lang w:val="en-US" w:eastAsia="zh-CN"/>
        </w:rPr>
        <w:t>.</w:t>
      </w:r>
      <w:r>
        <w:rPr>
          <w:rFonts w:ascii="仿宋_GB2312" w:cs="仿宋_GB2312" w:eastAsia="仿宋_GB2312" w:hAnsi="仿宋_GB2312" w:hint="eastAsia"/>
          <w:b/>
          <w:bCs/>
          <w:sz w:val="32"/>
          <w:szCs w:val="32"/>
        </w:rPr>
        <w:t>建设单位</w:t>
      </w:r>
      <w:r>
        <w:rPr>
          <w:rFonts w:ascii="仿宋_GB2312" w:cs="仿宋_GB2312" w:eastAsia="仿宋_GB2312" w:hAnsi="仿宋_GB2312" w:hint="eastAsia"/>
          <w:sz w:val="32"/>
          <w:szCs w:val="32"/>
        </w:rPr>
        <w:t>：广东粤电大埔发电有限公司</w:t>
      </w:r>
    </w:p>
    <w:p>
      <w:pPr>
        <w:pStyle w:val="style28"/>
        <w:keepNext w:val="false"/>
        <w:keepLines w:val="false"/>
        <w:pageBreakBefore w:val="false"/>
        <w:kinsoku/>
        <w:wordWrap/>
        <w:overflowPunct/>
        <w:topLinePunct w:val="false"/>
        <w:bidi w:val="false"/>
        <w:adjustRightInd w:val="false"/>
        <w:snapToGrid w:val="false"/>
        <w:spacing w:lineRule="auto" w:line="360"/>
        <w:ind w:left="0" w:leftChars="0" w:firstLine="643" w:firstLineChars="200"/>
        <w:rPr>
          <w:rFonts w:hint="default"/>
          <w:lang w:val="en-US"/>
        </w:rPr>
      </w:pPr>
      <w:r>
        <w:rPr>
          <w:rFonts w:ascii="仿宋_GB2312" w:cs="仿宋_GB2312" w:eastAsia="仿宋_GB2312" w:hAnsi="仿宋_GB2312" w:hint="eastAsia"/>
          <w:b/>
          <w:bCs/>
          <w:kern w:val="2"/>
          <w:sz w:val="32"/>
          <w:szCs w:val="32"/>
          <w:lang w:val="en-US" w:bidi="ar-SA" w:eastAsia="zh-CN"/>
        </w:rPr>
        <w:t>4.建设地点：</w:t>
      </w:r>
      <w:r>
        <w:rPr>
          <w:rFonts w:ascii="仿宋_GB2312" w:cs="仿宋_GB2312" w:eastAsia="仿宋_GB2312" w:hAnsi="仿宋_GB2312" w:hint="eastAsia"/>
          <w:b w:val="false"/>
          <w:bCs w:val="false"/>
          <w:kern w:val="2"/>
          <w:sz w:val="32"/>
          <w:szCs w:val="32"/>
          <w:lang w:val="en-US" w:bidi="ar-SA" w:eastAsia="zh-CN"/>
        </w:rPr>
        <w:t>大埔电厂预留的二期用地</w:t>
      </w: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3" w:firstLineChars="200"/>
        <w:jc w:val="left"/>
        <w:rPr>
          <w:rFonts w:ascii="仿宋_GB2312" w:cs="仿宋_GB2312" w:eastAsia="仿宋_GB2312" w:hAnsi="仿宋_GB2312" w:hint="eastAsia"/>
          <w:b/>
          <w:bCs/>
          <w:sz w:val="32"/>
          <w:szCs w:val="32"/>
        </w:rPr>
      </w:pPr>
      <w:r>
        <w:rPr>
          <w:rFonts w:ascii="仿宋_GB2312" w:cs="仿宋_GB2312" w:eastAsia="仿宋_GB2312" w:hAnsi="仿宋_GB2312" w:hint="eastAsia"/>
          <w:b/>
          <w:bCs/>
          <w:sz w:val="32"/>
          <w:szCs w:val="32"/>
          <w:lang w:val="en-US" w:eastAsia="zh-CN"/>
        </w:rPr>
        <w:t>5.</w:t>
      </w:r>
      <w:r>
        <w:rPr>
          <w:rFonts w:ascii="仿宋_GB2312" w:cs="仿宋_GB2312" w:eastAsia="仿宋_GB2312" w:hAnsi="仿宋_GB2312" w:hint="eastAsia"/>
          <w:b/>
          <w:bCs/>
          <w:sz w:val="32"/>
          <w:szCs w:val="32"/>
        </w:rPr>
        <w:t>项目建设必要性：</w:t>
      </w:r>
    </w:p>
    <w:p>
      <w:pPr>
        <w:pStyle w:val="style0"/>
        <w:widowControl/>
        <w:adjustRightInd w:val="false"/>
        <w:snapToGrid w:val="false"/>
        <w:spacing w:lineRule="auto" w:line="360"/>
        <w:ind w:firstLine="640" w:firstLineChars="200"/>
        <w:jc w:val="left"/>
        <w:rPr>
          <w:rFonts w:ascii="仿宋_GB2312" w:cs="仿宋_GB2312" w:eastAsia="仿宋_GB2312" w:hAnsi="仿宋_GB2312" w:hint="eastAsia"/>
          <w:color w:val="000000"/>
          <w:sz w:val="32"/>
          <w:szCs w:val="32"/>
          <w:lang w:eastAsia="zh-CN"/>
        </w:rPr>
      </w:pPr>
      <w:r>
        <w:rPr>
          <w:rFonts w:ascii="仿宋_GB2312" w:cs="仿宋_GB2312" w:eastAsia="仿宋_GB2312" w:hAnsi="仿宋_GB2312" w:hint="eastAsia"/>
          <w:color w:val="000000"/>
          <w:sz w:val="32"/>
          <w:szCs w:val="32"/>
        </w:rPr>
        <w:t>大埔电厂二期项目计划建设2×1000MW机组，预计于2023年底投产，届时将成为粤东地区的骨干电源之一。不仅能够满足梅州及粤东地区电力需求，并且有利于扩大梅州电网自身的电源装机容量，适应广东东区电力发展需求，提高广东东区电网系统运行经济性及可靠性，促进地区经济协调发展</w:t>
      </w:r>
      <w:r>
        <w:rPr>
          <w:rFonts w:ascii="仿宋_GB2312" w:cs="仿宋_GB2312" w:eastAsia="仿宋_GB2312" w:hAnsi="仿宋_GB2312" w:hint="eastAsia"/>
          <w:color w:val="000000"/>
          <w:sz w:val="32"/>
          <w:szCs w:val="32"/>
          <w:lang w:eastAsia="zh-CN"/>
        </w:rPr>
        <w:t>。</w:t>
      </w:r>
    </w:p>
    <w:p>
      <w:pPr>
        <w:pStyle w:val="style0"/>
        <w:widowControl/>
        <w:adjustRightInd w:val="false"/>
        <w:snapToGrid w:val="false"/>
        <w:spacing w:lineRule="auto" w:line="360"/>
        <w:ind w:firstLine="643" w:firstLineChars="200"/>
        <w:jc w:val="left"/>
        <w:rPr>
          <w:rFonts w:ascii="仿宋_GB2312" w:cs="仿宋_GB2312" w:eastAsia="仿宋_GB2312" w:hAnsi="仿宋_GB2312"/>
          <w:sz w:val="32"/>
          <w:szCs w:val="32"/>
        </w:rPr>
      </w:pPr>
      <w:r>
        <w:rPr>
          <w:rFonts w:ascii="仿宋_GB2312" w:cs="仿宋_GB2312" w:eastAsia="仿宋_GB2312" w:hAnsi="仿宋_GB2312" w:hint="eastAsia"/>
          <w:b/>
          <w:bCs/>
          <w:sz w:val="32"/>
          <w:szCs w:val="32"/>
          <w:lang w:val="en-US" w:eastAsia="zh-CN"/>
        </w:rPr>
        <w:t>6</w:t>
      </w:r>
      <w:r>
        <w:rPr>
          <w:rFonts w:ascii="仿宋_GB2312" w:cs="仿宋_GB2312" w:eastAsia="仿宋_GB2312" w:hAnsi="仿宋_GB2312" w:hint="eastAsia"/>
          <w:b/>
          <w:bCs/>
          <w:sz w:val="32"/>
          <w:szCs w:val="32"/>
        </w:rPr>
        <w:t>、工程概况</w:t>
      </w:r>
      <w:r>
        <w:rPr>
          <w:rFonts w:ascii="仿宋_GB2312" w:cs="仿宋_GB2312" w:eastAsia="仿宋_GB2312" w:hAnsi="仿宋_GB2312" w:hint="eastAsia"/>
          <w:sz w:val="32"/>
          <w:szCs w:val="32"/>
        </w:rPr>
        <w:t>：</w:t>
      </w:r>
    </w:p>
    <w:p>
      <w:pPr>
        <w:pStyle w:val="style0"/>
        <w:widowControl/>
        <w:adjustRightInd w:val="false"/>
        <w:snapToGrid w:val="false"/>
        <w:spacing w:lineRule="auto" w:line="360"/>
        <w:ind w:firstLine="627" w:firstLineChars="196"/>
        <w:jc w:val="left"/>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本工程为二期扩建工程，总体规划容量为2×1000MW燃煤机组，在一期预留的3、4号机组用地上进行建设。工程涉及</w:t>
      </w:r>
      <w:r>
        <w:rPr>
          <w:rFonts w:ascii="仿宋_GB2312" w:cs="仿宋_GB2312" w:eastAsia="仿宋_GB2312" w:hAnsi="仿宋_GB2312" w:hint="eastAsia"/>
          <w:sz w:val="32"/>
          <w:szCs w:val="32"/>
          <w:lang w:val="en-US" w:eastAsia="zh-CN"/>
        </w:rPr>
        <w:t>新征用地面积约11.93h</w:t>
      </w:r>
      <w:r>
        <w:rPr>
          <w:rFonts w:ascii="宋体" w:cs="宋体" w:eastAsia="宋体" w:hAnsi="宋体" w:hint="eastAsia"/>
          <w:sz w:val="32"/>
          <w:szCs w:val="32"/>
          <w:lang w:val="en-US" w:eastAsia="zh-CN"/>
        </w:rPr>
        <w:t>㎡</w:t>
      </w:r>
      <w:r>
        <w:rPr>
          <w:rFonts w:ascii="仿宋_GB2312" w:cs="仿宋_GB2312" w:eastAsia="仿宋_GB2312" w:hAnsi="仿宋_GB2312" w:hint="eastAsia"/>
          <w:sz w:val="32"/>
          <w:szCs w:val="32"/>
          <w:lang w:eastAsia="zh-CN"/>
        </w:rPr>
        <w:t>。本期工程两台机组同时建设，公用系统统一规划，统一建设，拟于2023年建成并投入商业运行。</w:t>
      </w:r>
    </w:p>
    <w:p>
      <w:pPr>
        <w:pStyle w:val="style28"/>
        <w:rPr/>
      </w:pPr>
    </w:p>
    <w:p>
      <w:pPr>
        <w:pStyle w:val="style0"/>
        <w:adjustRightInd w:val="false"/>
        <w:snapToGrid w:val="false"/>
        <w:spacing w:beforeLines="50" w:lineRule="auto" w:line="360"/>
        <w:ind w:firstLine="720" w:firstLineChars="200"/>
        <w:outlineLvl w:val="0"/>
        <w:rPr>
          <w:rFonts w:ascii="黑体" w:cs="仿宋_GB2312" w:eastAsia="黑体" w:hAnsi="黑体"/>
          <w:bCs/>
          <w:sz w:val="36"/>
          <w:szCs w:val="36"/>
        </w:rPr>
      </w:pPr>
      <w:r>
        <w:rPr>
          <w:rFonts w:ascii="黑体" w:cs="仿宋_GB2312" w:eastAsia="黑体" w:hAnsi="黑体" w:hint="eastAsia"/>
          <w:bCs/>
          <w:sz w:val="36"/>
          <w:szCs w:val="36"/>
        </w:rPr>
        <w:t>二、征求公众意见范围及主要事项</w:t>
      </w:r>
      <w:bookmarkStart w:id="0" w:name="_GoBack"/>
      <w:bookmarkEnd w:id="0"/>
    </w:p>
    <w:p>
      <w:pPr>
        <w:pStyle w:val="style0"/>
        <w:widowControl/>
        <w:adjustRightInd w:val="false"/>
        <w:snapToGrid w:val="false"/>
        <w:spacing w:lineRule="auto" w:line="360"/>
        <w:ind w:firstLine="640" w:firstLineChars="200"/>
        <w:jc w:val="left"/>
        <w:rPr>
          <w:rFonts w:ascii="仿宋_GB2312" w:cs="仿宋_GB2312" w:eastAsia="仿宋_GB2312" w:hAnsi="仿宋_GB2312"/>
          <w:sz w:val="32"/>
          <w:szCs w:val="32"/>
        </w:rPr>
      </w:pPr>
      <w:r>
        <w:rPr>
          <w:rFonts w:ascii="仿宋_GB2312" w:cs="仿宋_GB2312" w:eastAsia="仿宋_GB2312" w:hAnsi="仿宋_GB2312" w:hint="eastAsia"/>
          <w:sz w:val="32"/>
          <w:szCs w:val="32"/>
        </w:rPr>
        <w:t>公示对象为项目周边的群众、社会团体和企事业单位。</w:t>
      </w:r>
    </w:p>
    <w:p>
      <w:pPr>
        <w:pStyle w:val="style0"/>
        <w:widowControl/>
        <w:adjustRightInd w:val="false"/>
        <w:snapToGrid w:val="false"/>
        <w:spacing w:lineRule="auto" w:line="360"/>
        <w:ind w:firstLine="640" w:firstLineChars="200"/>
        <w:jc w:val="left"/>
        <w:rPr>
          <w:rFonts w:ascii="仿宋_GB2312" w:cs="仿宋_GB2312" w:eastAsia="仿宋_GB2312" w:hAnsi="仿宋_GB2312" w:hint="eastAsia"/>
          <w:sz w:val="32"/>
          <w:szCs w:val="32"/>
        </w:rPr>
      </w:pPr>
      <w:r>
        <w:rPr>
          <w:rFonts w:ascii="仿宋_GB2312" w:cs="仿宋_GB2312" w:eastAsia="仿宋_GB2312" w:hAnsi="仿宋_GB2312" w:hint="eastAsia"/>
          <w:color w:val="auto"/>
          <w:sz w:val="32"/>
          <w:szCs w:val="32"/>
        </w:rPr>
        <w:t>征求公示对象对项目建设实施的意见及建议</w:t>
      </w:r>
      <w:r>
        <w:rPr>
          <w:rFonts w:ascii="仿宋_GB2312" w:cs="仿宋_GB2312" w:eastAsia="仿宋_GB2312" w:hAnsi="仿宋_GB2312" w:hint="eastAsia"/>
          <w:sz w:val="32"/>
          <w:szCs w:val="32"/>
        </w:rPr>
        <w:t>。</w:t>
      </w:r>
    </w:p>
    <w:p>
      <w:pPr>
        <w:pStyle w:val="style28"/>
        <w:rPr/>
      </w:pPr>
    </w:p>
    <w:p>
      <w:pPr>
        <w:pStyle w:val="style0"/>
        <w:adjustRightInd w:val="false"/>
        <w:snapToGrid w:val="false"/>
        <w:spacing w:beforeLines="50" w:lineRule="auto" w:line="360"/>
        <w:ind w:firstLine="720" w:firstLineChars="200"/>
        <w:outlineLvl w:val="0"/>
        <w:rPr>
          <w:rFonts w:ascii="黑体" w:cs="仿宋_GB2312" w:eastAsia="黑体" w:hAnsi="黑体"/>
          <w:bCs/>
          <w:sz w:val="36"/>
          <w:szCs w:val="36"/>
        </w:rPr>
      </w:pPr>
      <w:r>
        <w:rPr>
          <w:rFonts w:ascii="黑体" w:cs="仿宋_GB2312" w:eastAsia="黑体" w:hAnsi="黑体" w:hint="eastAsia"/>
          <w:bCs/>
          <w:sz w:val="36"/>
          <w:szCs w:val="36"/>
        </w:rPr>
        <w:t>三、公示期</w:t>
      </w:r>
    </w:p>
    <w:p>
      <w:pPr>
        <w:pStyle w:val="style0"/>
        <w:widowControl/>
        <w:adjustRightInd w:val="false"/>
        <w:snapToGrid w:val="false"/>
        <w:spacing w:lineRule="auto" w:line="360"/>
        <w:ind w:firstLine="640" w:firstLineChars="200"/>
        <w:jc w:val="left"/>
        <w:rPr>
          <w:rFonts w:ascii="仿宋_GB2312" w:cs="仿宋_GB2312" w:eastAsia="仿宋_GB2312" w:hAnsi="仿宋_GB2312"/>
          <w:sz w:val="32"/>
          <w:szCs w:val="32"/>
        </w:rPr>
      </w:pPr>
      <w:r>
        <w:rPr>
          <w:rFonts w:ascii="仿宋_GB2312" w:cs="仿宋_GB2312" w:eastAsia="仿宋_GB2312" w:hAnsi="仿宋_GB2312" w:hint="eastAsia"/>
          <w:sz w:val="32"/>
          <w:szCs w:val="32"/>
        </w:rPr>
        <w:t>20</w:t>
      </w:r>
      <w:r>
        <w:rPr>
          <w:rFonts w:ascii="仿宋_GB2312" w:cs="仿宋_GB2312" w:eastAsia="仿宋_GB2312" w:hAnsi="仿宋_GB2312" w:hint="eastAsia"/>
          <w:sz w:val="32"/>
          <w:szCs w:val="32"/>
          <w:lang w:val="en-US" w:eastAsia="zh-CN"/>
        </w:rPr>
        <w:t>20</w:t>
      </w:r>
      <w:r>
        <w:rPr>
          <w:rFonts w:ascii="仿宋_GB2312" w:cs="仿宋_GB2312" w:eastAsia="仿宋_GB2312" w:hAnsi="仿宋_GB2312" w:hint="eastAsia"/>
          <w:sz w:val="32"/>
          <w:szCs w:val="32"/>
        </w:rPr>
        <w:t>年</w:t>
      </w:r>
      <w:r>
        <w:rPr>
          <w:rFonts w:ascii="仿宋_GB2312" w:cs="仿宋_GB2312" w:eastAsia="仿宋_GB2312" w:hAnsi="仿宋_GB2312" w:hint="eastAsia"/>
          <w:sz w:val="32"/>
          <w:szCs w:val="32"/>
          <w:lang w:val="en-US" w:eastAsia="zh-CN"/>
        </w:rPr>
        <w:t xml:space="preserve"> </w:t>
      </w:r>
      <w:r>
        <w:rPr>
          <w:rFonts w:ascii="仿宋_GB2312" w:cs="仿宋_GB2312" w:eastAsia="仿宋_GB2312" w:hAnsi="仿宋_GB2312" w:hint="default"/>
          <w:sz w:val="32"/>
          <w:szCs w:val="32"/>
          <w:lang w:val="en-US" w:eastAsia="zh-CN"/>
        </w:rPr>
        <w:t>07</w:t>
      </w:r>
      <w:r>
        <w:rPr>
          <w:rFonts w:ascii="仿宋_GB2312" w:cs="仿宋_GB2312" w:eastAsia="仿宋_GB2312" w:hAnsi="仿宋_GB2312" w:hint="eastAsia"/>
          <w:sz w:val="32"/>
          <w:szCs w:val="32"/>
        </w:rPr>
        <w:t>月</w:t>
      </w:r>
      <w:r>
        <w:rPr>
          <w:rFonts w:ascii="仿宋_GB2312" w:cs="仿宋_GB2312" w:eastAsia="仿宋_GB2312" w:hAnsi="仿宋_GB2312" w:hint="eastAsia"/>
          <w:sz w:val="32"/>
          <w:szCs w:val="32"/>
          <w:lang w:val="en-US" w:eastAsia="zh-CN"/>
        </w:rPr>
        <w:t xml:space="preserve"> </w:t>
      </w:r>
      <w:r>
        <w:rPr>
          <w:rFonts w:ascii="仿宋_GB2312" w:cs="仿宋_GB2312" w:eastAsia="仿宋_GB2312" w:hAnsi="仿宋_GB2312" w:hint="default"/>
          <w:sz w:val="32"/>
          <w:szCs w:val="32"/>
          <w:lang w:val="en-US" w:eastAsia="zh-CN"/>
        </w:rPr>
        <w:t>23</w:t>
      </w:r>
      <w:r>
        <w:rPr>
          <w:rFonts w:ascii="仿宋_GB2312" w:cs="仿宋_GB2312" w:eastAsia="仿宋_GB2312" w:hAnsi="仿宋_GB2312" w:hint="eastAsia"/>
          <w:sz w:val="32"/>
          <w:szCs w:val="32"/>
        </w:rPr>
        <w:t>日至20</w:t>
      </w:r>
      <w:r>
        <w:rPr>
          <w:rFonts w:ascii="仿宋_GB2312" w:cs="仿宋_GB2312" w:eastAsia="仿宋_GB2312" w:hAnsi="仿宋_GB2312" w:hint="eastAsia"/>
          <w:sz w:val="32"/>
          <w:szCs w:val="32"/>
          <w:lang w:val="en-US" w:eastAsia="zh-CN"/>
        </w:rPr>
        <w:t>20</w:t>
      </w:r>
      <w:r>
        <w:rPr>
          <w:rFonts w:ascii="仿宋_GB2312" w:cs="仿宋_GB2312" w:eastAsia="仿宋_GB2312" w:hAnsi="仿宋_GB2312" w:hint="eastAsia"/>
          <w:sz w:val="32"/>
          <w:szCs w:val="32"/>
        </w:rPr>
        <w:t>年</w:t>
      </w:r>
      <w:r>
        <w:rPr>
          <w:rFonts w:ascii="仿宋_GB2312" w:cs="仿宋_GB2312" w:eastAsia="仿宋_GB2312" w:hAnsi="仿宋_GB2312" w:hint="eastAsia"/>
          <w:sz w:val="32"/>
          <w:szCs w:val="32"/>
          <w:lang w:val="en-US" w:eastAsia="zh-CN"/>
        </w:rPr>
        <w:t xml:space="preserve"> </w:t>
      </w:r>
      <w:r>
        <w:rPr>
          <w:rFonts w:ascii="仿宋_GB2312" w:cs="仿宋_GB2312" w:eastAsia="仿宋_GB2312" w:hAnsi="仿宋_GB2312" w:hint="default"/>
          <w:sz w:val="32"/>
          <w:szCs w:val="32"/>
          <w:lang w:val="en-US" w:eastAsia="zh-CN"/>
        </w:rPr>
        <w:t>08</w:t>
      </w:r>
      <w:r>
        <w:rPr>
          <w:rFonts w:ascii="仿宋_GB2312" w:cs="仿宋_GB2312" w:eastAsia="仿宋_GB2312" w:hAnsi="仿宋_GB2312" w:hint="eastAsia"/>
          <w:sz w:val="32"/>
          <w:szCs w:val="32"/>
        </w:rPr>
        <w:t>月</w:t>
      </w:r>
      <w:r>
        <w:rPr>
          <w:rFonts w:ascii="仿宋_GB2312" w:cs="仿宋_GB2312" w:eastAsia="仿宋_GB2312" w:hAnsi="仿宋_GB2312" w:hint="eastAsia"/>
          <w:sz w:val="32"/>
          <w:szCs w:val="32"/>
          <w:lang w:val="en-US" w:eastAsia="zh-CN"/>
        </w:rPr>
        <w:t xml:space="preserve"> </w:t>
      </w:r>
      <w:r>
        <w:rPr>
          <w:rFonts w:ascii="仿宋_GB2312" w:cs="仿宋_GB2312" w:eastAsia="仿宋_GB2312" w:hAnsi="仿宋_GB2312" w:hint="default"/>
          <w:sz w:val="32"/>
          <w:szCs w:val="32"/>
          <w:lang w:val="en-US" w:eastAsia="zh-CN"/>
        </w:rPr>
        <w:t>05</w:t>
      </w:r>
      <w:r>
        <w:rPr>
          <w:rFonts w:ascii="仿宋_GB2312" w:cs="仿宋_GB2312" w:eastAsia="仿宋_GB2312" w:hAnsi="仿宋_GB2312" w:hint="eastAsia"/>
          <w:sz w:val="32"/>
          <w:szCs w:val="32"/>
        </w:rPr>
        <w:t>日（共10个工作日）。</w:t>
      </w: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0" w:firstLineChars="200"/>
        <w:jc w:val="left"/>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公示期内，受</w:t>
      </w:r>
      <w:r>
        <w:rPr>
          <w:rFonts w:ascii="仿宋_GB2312" w:eastAsia="仿宋_GB2312" w:hint="eastAsia"/>
          <w:color w:val="000000"/>
          <w:sz w:val="32"/>
          <w:szCs w:val="32"/>
        </w:rPr>
        <w:t>项目建设实施影响的</w:t>
      </w:r>
      <w:r>
        <w:rPr>
          <w:rFonts w:ascii="仿宋_GB2312" w:cs="仿宋_GB2312" w:eastAsia="仿宋_GB2312" w:hAnsi="仿宋_GB2312" w:hint="eastAsia"/>
          <w:sz w:val="32"/>
          <w:szCs w:val="32"/>
        </w:rPr>
        <w:t>居民群众、社会团体和企事业单位可通过电子邮件、传真、电话、信函等方式反映意见和建议。</w:t>
      </w: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0" w:firstLineChars="200"/>
        <w:jc w:val="left"/>
        <w:rPr>
          <w:rFonts w:ascii="仿宋_GB2312" w:cs="仿宋_GB2312" w:eastAsia="仿宋_GB2312" w:hAnsi="仿宋_GB2312" w:hint="eastAsia"/>
          <w:sz w:val="32"/>
          <w:szCs w:val="32"/>
        </w:rPr>
      </w:pP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3" w:firstLineChars="200"/>
        <w:jc w:val="left"/>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b/>
          <w:bCs/>
          <w:sz w:val="32"/>
          <w:szCs w:val="32"/>
          <w:lang w:val="en-US" w:eastAsia="zh-CN"/>
        </w:rPr>
        <w:t>建设单位</w:t>
      </w:r>
      <w:r>
        <w:rPr>
          <w:rFonts w:ascii="仿宋_GB2312" w:cs="仿宋_GB2312" w:eastAsia="仿宋_GB2312" w:hAnsi="仿宋_GB2312" w:hint="eastAsia"/>
          <w:sz w:val="32"/>
          <w:szCs w:val="32"/>
          <w:lang w:val="en-US" w:eastAsia="zh-CN"/>
        </w:rPr>
        <w:t>：</w:t>
      </w:r>
      <w:r>
        <w:rPr>
          <w:rFonts w:ascii="仿宋_GB2312" w:cs="仿宋_GB2312" w:eastAsia="仿宋_GB2312" w:hAnsi="仿宋_GB2312" w:hint="eastAsia"/>
          <w:sz w:val="32"/>
          <w:szCs w:val="32"/>
        </w:rPr>
        <w:t>广东粤电大埔发电有限公司</w:t>
      </w: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3" w:firstLineChars="200"/>
        <w:jc w:val="left"/>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b/>
          <w:bCs/>
          <w:sz w:val="32"/>
          <w:szCs w:val="32"/>
          <w:lang w:val="en-US" w:eastAsia="zh-CN"/>
        </w:rPr>
        <w:t>联系地址</w:t>
      </w:r>
      <w:r>
        <w:rPr>
          <w:rFonts w:ascii="仿宋_GB2312" w:cs="仿宋_GB2312" w:eastAsia="仿宋_GB2312" w:hAnsi="仿宋_GB2312" w:hint="eastAsia"/>
          <w:sz w:val="32"/>
          <w:szCs w:val="32"/>
          <w:lang w:val="en-US" w:eastAsia="zh-CN"/>
        </w:rPr>
        <w:t>：广东省梅州市大埔县三河镇</w:t>
      </w: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3" w:firstLineChars="200"/>
        <w:jc w:val="left"/>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b/>
          <w:bCs/>
          <w:sz w:val="32"/>
          <w:szCs w:val="32"/>
          <w:lang w:val="en-US" w:eastAsia="zh-CN"/>
        </w:rPr>
        <w:t>联系人</w:t>
      </w:r>
      <w:r>
        <w:rPr>
          <w:rFonts w:ascii="仿宋_GB2312" w:cs="仿宋_GB2312" w:eastAsia="仿宋_GB2312" w:hAnsi="仿宋_GB2312" w:hint="eastAsia"/>
          <w:sz w:val="32"/>
          <w:szCs w:val="32"/>
          <w:lang w:val="en-US" w:eastAsia="zh-CN"/>
        </w:rPr>
        <w:t>：侯工                   电话：0753-5188674</w:t>
      </w: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0" w:firstLineChars="200"/>
        <w:jc w:val="left"/>
        <w:rPr>
          <w:rFonts w:ascii="仿宋_GB2312" w:cs="仿宋_GB2312" w:eastAsia="仿宋_GB2312" w:hAnsi="仿宋_GB2312" w:hint="eastAsia"/>
          <w:sz w:val="32"/>
          <w:szCs w:val="32"/>
        </w:rPr>
      </w:pP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3" w:firstLineChars="200"/>
        <w:jc w:val="left"/>
        <w:rPr>
          <w:rFonts w:ascii="仿宋_GB2312" w:cs="仿宋_GB2312" w:eastAsia="仿宋_GB2312" w:hAnsi="仿宋_GB2312" w:hint="eastAsia"/>
          <w:sz w:val="32"/>
          <w:szCs w:val="32"/>
        </w:rPr>
      </w:pPr>
      <w:r>
        <w:rPr>
          <w:rFonts w:ascii="仿宋_GB2312" w:cs="仿宋_GB2312" w:eastAsia="仿宋_GB2312" w:hAnsi="仿宋_GB2312" w:hint="eastAsia"/>
          <w:b/>
          <w:bCs/>
          <w:sz w:val="32"/>
          <w:szCs w:val="32"/>
        </w:rPr>
        <w:t>第三方机构</w:t>
      </w:r>
      <w:r>
        <w:rPr>
          <w:rFonts w:ascii="仿宋_GB2312" w:cs="仿宋_GB2312" w:eastAsia="仿宋_GB2312" w:hAnsi="仿宋_GB2312" w:hint="eastAsia"/>
          <w:sz w:val="32"/>
          <w:szCs w:val="32"/>
        </w:rPr>
        <w:t>：广东省国际工程咨询有限公司</w:t>
      </w: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3" w:firstLineChars="200"/>
        <w:jc w:val="left"/>
        <w:rPr>
          <w:rFonts w:ascii="仿宋_GB2312" w:cs="仿宋_GB2312" w:eastAsia="仿宋_GB2312" w:hAnsi="仿宋_GB2312"/>
          <w:sz w:val="32"/>
          <w:szCs w:val="32"/>
        </w:rPr>
      </w:pPr>
      <w:r>
        <w:rPr>
          <w:rFonts w:ascii="仿宋_GB2312" w:cs="仿宋_GB2312" w:eastAsia="仿宋_GB2312" w:hAnsi="仿宋_GB2312" w:hint="eastAsia"/>
          <w:b/>
          <w:bCs/>
          <w:sz w:val="32"/>
          <w:szCs w:val="32"/>
        </w:rPr>
        <w:t>联系地址</w:t>
      </w:r>
      <w:r>
        <w:rPr>
          <w:rFonts w:ascii="仿宋_GB2312" w:cs="仿宋_GB2312" w:eastAsia="仿宋_GB2312" w:hAnsi="仿宋_GB2312" w:hint="eastAsia"/>
          <w:sz w:val="32"/>
          <w:szCs w:val="32"/>
        </w:rPr>
        <w:t>：广东省广州市越秀区环市中路316号金鹰大厦13楼</w:t>
      </w: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643" w:firstLineChars="200"/>
        <w:jc w:val="left"/>
        <w:rPr>
          <w:rFonts w:ascii="仿宋_GB2312" w:cs="仿宋_GB2312" w:eastAsia="仿宋_GB2312" w:hAnsi="仿宋_GB2312" w:hint="eastAsia"/>
          <w:sz w:val="32"/>
          <w:szCs w:val="32"/>
        </w:rPr>
      </w:pPr>
      <w:r>
        <w:rPr>
          <w:rFonts w:ascii="仿宋_GB2312" w:cs="仿宋_GB2312" w:eastAsia="仿宋_GB2312" w:hAnsi="仿宋_GB2312" w:hint="eastAsia"/>
          <w:b/>
          <w:bCs/>
          <w:sz w:val="32"/>
          <w:szCs w:val="32"/>
        </w:rPr>
        <w:t>联系人</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val="en-US" w:eastAsia="zh-CN"/>
        </w:rPr>
        <w:t xml:space="preserve">张工                   </w:t>
      </w:r>
      <w:r>
        <w:rPr>
          <w:rFonts w:ascii="仿宋_GB2312" w:cs="仿宋_GB2312" w:eastAsia="仿宋_GB2312" w:hAnsi="仿宋_GB2312" w:hint="eastAsia"/>
          <w:sz w:val="32"/>
          <w:szCs w:val="32"/>
        </w:rPr>
        <w:t>电话：020-</w:t>
      </w:r>
      <w:r>
        <w:rPr>
          <w:rFonts w:ascii="仿宋_GB2312" w:cs="仿宋_GB2312" w:eastAsia="仿宋_GB2312" w:hAnsi="仿宋_GB2312" w:hint="eastAsia"/>
          <w:sz w:val="32"/>
          <w:szCs w:val="32"/>
          <w:lang w:val="en-US" w:eastAsia="zh-CN"/>
        </w:rPr>
        <w:t>83517173</w:t>
      </w:r>
      <w:r>
        <w:rPr>
          <w:rFonts w:ascii="仿宋_GB2312" w:cs="仿宋_GB2312" w:eastAsia="仿宋_GB2312" w:hAnsi="仿宋_GB2312" w:hint="eastAsia"/>
          <w:sz w:val="32"/>
          <w:szCs w:val="32"/>
        </w:rPr>
        <w:t xml:space="preserve">  </w:t>
      </w:r>
      <w:r>
        <w:rPr>
          <w:rFonts w:ascii="仿宋_GB2312" w:cs="仿宋_GB2312" w:eastAsia="仿宋_GB2312" w:hAnsi="仿宋_GB2312" w:hint="eastAsia"/>
          <w:sz w:val="32"/>
          <w:szCs w:val="32"/>
          <w:lang w:val="en-US" w:eastAsia="zh-CN"/>
        </w:rPr>
        <w:t xml:space="preserve">    </w:t>
      </w:r>
      <w:r>
        <w:rPr>
          <w:rFonts w:ascii="仿宋_GB2312" w:cs="仿宋_GB2312" w:eastAsia="仿宋_GB2312" w:hAnsi="仿宋_GB2312" w:hint="eastAsia"/>
          <w:sz w:val="32"/>
          <w:szCs w:val="32"/>
        </w:rPr>
        <w:t xml:space="preserve">  传真：020-83604895</w:t>
      </w:r>
    </w:p>
    <w:p>
      <w:pPr>
        <w:pStyle w:val="style0"/>
        <w:keepNext w:val="false"/>
        <w:keepLines w:val="false"/>
        <w:pageBreakBefore w:val="false"/>
        <w:widowControl/>
        <w:kinsoku/>
        <w:wordWrap/>
        <w:overflowPunct/>
        <w:topLinePunct w:val="false"/>
        <w:bidi w:val="false"/>
        <w:adjustRightInd w:val="false"/>
        <w:snapToGrid w:val="false"/>
        <w:spacing w:lineRule="auto" w:line="360"/>
        <w:ind w:firstLine="1920" w:firstLineChars="600"/>
        <w:jc w:val="left"/>
        <w:rPr>
          <w:rFonts w:ascii="仿宋_GB2312" w:cs="仿宋_GB2312" w:eastAsia="仿宋_GB2312" w:hAnsi="仿宋_GB2312" w:hint="eastAsia"/>
          <w:sz w:val="32"/>
          <w:szCs w:val="32"/>
        </w:rPr>
      </w:pPr>
      <w:r>
        <w:rPr>
          <w:rFonts w:ascii="仿宋_GB2312" w:cs="仿宋_GB2312" w:eastAsia="仿宋_GB2312" w:hAnsi="仿宋_GB2312" w:hint="eastAsia"/>
          <w:b w:val="false"/>
          <w:bCs w:val="false"/>
          <w:sz w:val="32"/>
          <w:szCs w:val="32"/>
        </w:rPr>
        <w:t>邮编</w:t>
      </w:r>
      <w:r>
        <w:rPr>
          <w:rFonts w:ascii="仿宋_GB2312" w:cs="仿宋_GB2312" w:eastAsia="仿宋_GB2312" w:hAnsi="仿宋_GB2312" w:hint="eastAsia"/>
          <w:sz w:val="32"/>
          <w:szCs w:val="32"/>
        </w:rPr>
        <w:t>：510060           电子邮箱：</w:t>
      </w:r>
      <w:r>
        <w:rPr>
          <w:rFonts w:ascii="仿宋_GB2312" w:cs="仿宋_GB2312" w:eastAsia="仿宋_GB2312" w:hAnsi="仿宋_GB2312" w:hint="eastAsia"/>
          <w:sz w:val="32"/>
          <w:szCs w:val="32"/>
          <w:lang w:val="en-US" w:eastAsia="zh-CN"/>
        </w:rPr>
        <w:t>xzjscwp</w:t>
      </w:r>
      <w:r>
        <w:rPr>
          <w:rFonts w:ascii="仿宋_GB2312" w:cs="仿宋_GB2312" w:eastAsia="仿宋_GB2312" w:hAnsi="仿宋_GB2312"/>
          <w:sz w:val="32"/>
          <w:szCs w:val="32"/>
        </w:rPr>
        <w:t>@</w:t>
      </w:r>
      <w:r>
        <w:rPr>
          <w:rFonts w:ascii="仿宋_GB2312" w:cs="仿宋_GB2312" w:eastAsia="仿宋_GB2312" w:hAnsi="仿宋_GB2312" w:hint="eastAsia"/>
          <w:sz w:val="32"/>
          <w:szCs w:val="32"/>
        </w:rPr>
        <w:t>126</w:t>
      </w:r>
      <w:r>
        <w:rPr>
          <w:rFonts w:ascii="仿宋_GB2312" w:cs="仿宋_GB2312" w:eastAsia="仿宋_GB2312" w:hAnsi="仿宋_GB2312"/>
          <w:sz w:val="32"/>
          <w:szCs w:val="32"/>
        </w:rPr>
        <w:t>.com</w:t>
      </w:r>
      <w:r>
        <w:rPr>
          <w:rFonts w:ascii="仿宋_GB2312" w:cs="仿宋_GB2312" w:eastAsia="仿宋_GB2312" w:hAnsi="仿宋_GB2312" w:hint="eastAsia"/>
          <w:sz w:val="32"/>
          <w:szCs w:val="32"/>
        </w:rPr>
        <w:t xml:space="preserve">             </w:t>
      </w:r>
    </w:p>
    <w:p>
      <w:pPr>
        <w:pStyle w:val="style28"/>
        <w:keepNext w:val="false"/>
        <w:keepLines w:val="false"/>
        <w:pageBreakBefore w:val="false"/>
        <w:widowControl w:val="false"/>
        <w:kinsoku/>
        <w:wordWrap/>
        <w:overflowPunct/>
        <w:topLinePunct w:val="false"/>
        <w:autoSpaceDE w:val="false"/>
        <w:autoSpaceDN w:val="false"/>
        <w:bidi w:val="false"/>
        <w:adjustRightInd w:val="false"/>
        <w:snapToGrid/>
        <w:spacing w:lineRule="auto" w:line="360"/>
        <w:ind w:firstLine="420"/>
        <w:textAlignment w:val="baseline"/>
        <w:rPr/>
      </w:pPr>
    </w:p>
    <w:p>
      <w:pPr>
        <w:pStyle w:val="style28"/>
        <w:keepNext w:val="false"/>
        <w:keepLines w:val="false"/>
        <w:pageBreakBefore w:val="false"/>
        <w:widowControl w:val="false"/>
        <w:kinsoku/>
        <w:wordWrap/>
        <w:overflowPunct/>
        <w:topLinePunct w:val="false"/>
        <w:autoSpaceDE w:val="false"/>
        <w:autoSpaceDN w:val="false"/>
        <w:bidi w:val="false"/>
        <w:adjustRightInd w:val="false"/>
        <w:snapToGrid/>
        <w:spacing w:lineRule="auto" w:line="360"/>
        <w:ind w:firstLine="420"/>
        <w:textAlignment w:val="baseline"/>
        <w:rPr/>
      </w:pPr>
    </w:p>
    <w:p>
      <w:pPr>
        <w:pStyle w:val="style28"/>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480"/>
        <w:ind w:firstLine="420"/>
        <w:jc w:val="right"/>
        <w:textAlignment w:val="baseline"/>
        <w:rPr>
          <w:rFonts w:ascii="仿宋_GB2312" w:cs="仿宋_GB2312" w:eastAsia="仿宋_GB2312" w:hAnsi="仿宋_GB2312" w:hint="eastAsia"/>
          <w:sz w:val="32"/>
          <w:szCs w:val="32"/>
        </w:rPr>
      </w:pPr>
      <w:r>
        <w:rPr>
          <w:rFonts w:ascii="仿宋_GB2312" w:cs="仿宋_GB2312" w:eastAsia="仿宋_GB2312" w:hAnsi="仿宋_GB2312" w:hint="eastAsia"/>
          <w:sz w:val="32"/>
          <w:szCs w:val="32"/>
        </w:rPr>
        <w:t>广东粤电大埔发电有限公司</w:t>
      </w:r>
    </w:p>
    <w:p>
      <w:pPr>
        <w:pStyle w:val="style0"/>
        <w:widowControl/>
        <w:adjustRightInd w:val="false"/>
        <w:snapToGrid w:val="false"/>
        <w:spacing w:lineRule="auto" w:line="480"/>
        <w:jc w:val="right"/>
        <w:rPr/>
      </w:pPr>
      <w:r>
        <w:rPr>
          <w:rFonts w:ascii="仿宋_GB2312" w:cs="仿宋_GB2312" w:eastAsia="仿宋_GB2312" w:hAnsi="仿宋_GB2312" w:hint="eastAsia"/>
          <w:sz w:val="32"/>
          <w:szCs w:val="32"/>
        </w:rPr>
        <w:t>广东省国际工程咨询有限公司</w:t>
      </w:r>
    </w:p>
    <w:p>
      <w:pPr>
        <w:pStyle w:val="style0"/>
        <w:widowControl/>
        <w:wordWrap w:val="false"/>
        <w:adjustRightInd w:val="false"/>
        <w:snapToGrid w:val="false"/>
        <w:spacing w:lineRule="auto" w:line="480"/>
        <w:jc w:val="right"/>
        <w:rPr>
          <w:rFonts w:ascii="仿宋_GB2312" w:cs="仿宋_GB2312" w:eastAsia="仿宋_GB2312" w:hAnsi="仿宋_GB2312" w:hint="eastAsia"/>
          <w:bCs/>
          <w:sz w:val="32"/>
          <w:szCs w:val="32"/>
        </w:rPr>
      </w:pPr>
      <w:r>
        <w:rPr>
          <w:rFonts w:ascii="仿宋_GB2312" w:cs="仿宋_GB2312" w:eastAsia="仿宋_GB2312" w:hAnsi="仿宋_GB2312" w:hint="eastAsia"/>
          <w:bCs/>
          <w:sz w:val="32"/>
          <w:szCs w:val="32"/>
        </w:rPr>
        <w:t>20</w:t>
      </w:r>
      <w:r>
        <w:rPr>
          <w:rFonts w:ascii="仿宋_GB2312" w:cs="仿宋_GB2312" w:eastAsia="仿宋_GB2312" w:hAnsi="仿宋_GB2312" w:hint="eastAsia"/>
          <w:bCs/>
          <w:sz w:val="32"/>
          <w:szCs w:val="32"/>
          <w:lang w:val="en-US" w:eastAsia="zh-CN"/>
        </w:rPr>
        <w:t>20</w:t>
      </w:r>
      <w:r>
        <w:rPr>
          <w:rFonts w:ascii="仿宋_GB2312" w:cs="仿宋_GB2312" w:eastAsia="仿宋_GB2312" w:hAnsi="仿宋_GB2312" w:hint="eastAsia"/>
          <w:bCs/>
          <w:sz w:val="32"/>
          <w:szCs w:val="32"/>
        </w:rPr>
        <w:t>年</w:t>
      </w:r>
      <w:r>
        <w:rPr>
          <w:rFonts w:ascii="仿宋_GB2312" w:cs="仿宋_GB2312" w:eastAsia="仿宋_GB2312" w:hAnsi="仿宋_GB2312" w:hint="default"/>
          <w:bCs/>
          <w:sz w:val="32"/>
          <w:szCs w:val="32"/>
          <w:lang w:val="en-US" w:eastAsia="zh-CN"/>
        </w:rPr>
        <w:t>07</w:t>
      </w:r>
      <w:r>
        <w:rPr>
          <w:rFonts w:ascii="仿宋_GB2312" w:cs="仿宋_GB2312" w:eastAsia="仿宋_GB2312" w:hAnsi="仿宋_GB2312" w:hint="eastAsia"/>
          <w:bCs/>
          <w:sz w:val="32"/>
          <w:szCs w:val="32"/>
        </w:rPr>
        <w:t>月</w:t>
      </w:r>
      <w:r>
        <w:rPr>
          <w:rFonts w:ascii="仿宋_GB2312" w:cs="仿宋_GB2312" w:eastAsia="仿宋_GB2312" w:hAnsi="仿宋_GB2312" w:hint="default"/>
          <w:bCs/>
          <w:sz w:val="32"/>
          <w:szCs w:val="32"/>
          <w:lang w:val="en-US" w:eastAsia="zh-CN"/>
        </w:rPr>
        <w:t>23</w:t>
      </w:r>
      <w:r>
        <w:rPr>
          <w:rFonts w:ascii="仿宋_GB2312" w:cs="仿宋_GB2312" w:eastAsia="仿宋_GB2312" w:hAnsi="仿宋_GB2312" w:hint="eastAsia"/>
          <w:bCs/>
          <w:sz w:val="32"/>
          <w:szCs w:val="32"/>
        </w:rPr>
        <w:t xml:space="preserve">日   </w:t>
      </w:r>
    </w:p>
    <w:p>
      <w:pPr>
        <w:pStyle w:val="style28"/>
        <w:wordWrap/>
        <w:rPr>
          <w:rFonts w:hint="eastAsia"/>
        </w:rPr>
      </w:pPr>
    </w:p>
    <w:p>
      <w:pPr>
        <w:pStyle w:val="style28"/>
        <w:keepNext w:val="false"/>
        <w:keepLines w:val="false"/>
        <w:pageBreakBefore w:val="false"/>
        <w:widowControl w:val="false"/>
        <w:kinsoku/>
        <w:wordWrap/>
        <w:overflowPunct/>
        <w:topLinePunct w:val="false"/>
        <w:autoSpaceDE w:val="false"/>
        <w:autoSpaceDN w:val="false"/>
        <w:bidi w:val="false"/>
        <w:adjustRightInd w:val="false"/>
        <w:snapToGrid/>
        <w:spacing w:lineRule="auto" w:line="240"/>
        <w:ind w:firstLine="0"/>
        <w:jc w:val="center"/>
        <w:textAlignment w:val="baseline"/>
        <w:rPr>
          <w:rFonts w:eastAsia="仿宋_GB2312" w:hint="eastAsia"/>
          <w:lang w:eastAsia="zh-CN"/>
        </w:rPr>
      </w:pPr>
      <w:r>
        <w:rPr>
          <w:rFonts w:eastAsia="仿宋_GB2312" w:hint="eastAsia"/>
          <w:lang w:eastAsia="zh-CN"/>
        </w:rPr>
        <w:drawing>
          <wp:inline distL="0" distT="0" distB="0" distR="0">
            <wp:extent cx="4411980" cy="3762375"/>
            <wp:effectExtent l="0" t="0" r="7620" b="9525"/>
            <wp:docPr id="1026" name="图片 1" descr="大埔电厂"/>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14724"/>
                    <a:stretch/>
                  </pic:blipFill>
                  <pic:spPr>
                    <a:xfrm rot="0">
                      <a:off x="0" y="0"/>
                      <a:ext cx="4411980" cy="3762375"/>
                    </a:xfrm>
                    <a:prstGeom prst="rect"/>
                  </pic:spPr>
                </pic:pic>
              </a:graphicData>
            </a:graphic>
          </wp:inline>
        </w:drawing>
      </w:r>
    </w:p>
    <w:p>
      <w:pPr>
        <w:pStyle w:val="style28"/>
        <w:keepNext w:val="false"/>
        <w:keepLines w:val="false"/>
        <w:pageBreakBefore w:val="false"/>
        <w:widowControl w:val="false"/>
        <w:kinsoku/>
        <w:wordWrap/>
        <w:overflowPunct/>
        <w:topLinePunct w:val="false"/>
        <w:autoSpaceDE w:val="false"/>
        <w:autoSpaceDN w:val="false"/>
        <w:bidi w:val="false"/>
        <w:adjustRightInd w:val="false"/>
        <w:snapToGrid/>
        <w:spacing w:lineRule="auto" w:line="240"/>
        <w:ind w:firstLine="0"/>
        <w:jc w:val="center"/>
        <w:textAlignment w:val="baseline"/>
        <w:rPr>
          <w:rFonts w:eastAsia="仿宋_GB2312" w:hint="default"/>
          <w:b/>
          <w:bCs/>
          <w:lang w:val="en-US" w:eastAsia="zh-CN"/>
        </w:rPr>
      </w:pPr>
      <w:r>
        <w:rPr>
          <w:rFonts w:eastAsia="仿宋_GB2312" w:hint="eastAsia"/>
          <w:b/>
          <w:bCs/>
          <w:lang w:val="en-US" w:eastAsia="zh-CN"/>
        </w:rPr>
        <w:t>电子问卷二维码</w:t>
      </w:r>
    </w:p>
    <w:sectPr>
      <w:pgSz w:w="16839" w:h="23814" w:orient="portrait"/>
      <w:pgMar w:top="1440" w:right="1800" w:bottom="1440" w:left="180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仿宋_GB2312">
    <w:altName w:val="仿宋_GB2312"/>
    <w:panose1 w:val="02010609030001010101"/>
    <w:charset w:val="86"/>
    <w:family w:val="auto"/>
    <w:pitch w:val="default"/>
    <w:sig w:usb0="00000001" w:usb1="080E0000" w:usb2="00000000" w:usb3="00000000" w:csb0="00040000" w:csb1="00000000"/>
  </w:font>
  <w:font w:name="新宋体">
    <w:altName w:val="新宋体"/>
    <w:panose1 w:val="02010609030001010101"/>
    <w:charset w:val="86"/>
    <w:family w:val="modern"/>
    <w:pitch w:val="default"/>
    <w:sig w:usb0="00000283" w:usb1="288F0000" w:usb2="00000006" w:usb3="00000000" w:csb0="00040001" w:csb1="00000000"/>
  </w:font>
  <w:font w:name="微软雅黑">
    <w:altName w:val="微软雅黑"/>
    <w:panose1 w:val="020b0503020002020204"/>
    <w:charset w:val="86"/>
    <w:family w:val="auto"/>
    <w:pitch w:val="default"/>
    <w:sig w:usb0="80000287" w:usb1="2ACF3C50" w:usb2="00000016" w:usb3="00000000" w:csb0="0004001F" w:csb1="00000000"/>
  </w:font>
  <w:font w:name="Tahoma">
    <w:altName w:val="Tahoma"/>
    <w:panose1 w:val="020b0604030005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28"/>
    <w:qFormat/>
    <w:uiPriority w:val="0"/>
    <w:pPr>
      <w:widowControl w:val="false"/>
      <w:jc w:val="both"/>
    </w:pPr>
    <w:rPr>
      <w:rFonts w:ascii="Calibri" w:cs="Times New Roman" w:eastAsia="宋体" w:hAnsi="Calibri"/>
      <w:kern w:val="2"/>
      <w:sz w:val="21"/>
      <w:szCs w:val="22"/>
      <w:lang w:val="en-US" w:bidi="ar-SA" w:eastAsia="zh-CN"/>
    </w:rPr>
  </w:style>
  <w:style w:type="paragraph" w:styleId="style3">
    <w:name w:val="heading 3"/>
    <w:basedOn w:val="style0"/>
    <w:next w:val="style0"/>
    <w:qFormat/>
    <w:uiPriority w:val="9"/>
    <w:pPr>
      <w:keepNext/>
      <w:keepLines/>
      <w:adjustRightInd w:val="false"/>
      <w:spacing w:before="260" w:after="260" w:lineRule="exact" w:line="320"/>
      <w:jc w:val="left"/>
      <w:textAlignment w:val="baseline"/>
      <w:outlineLvl w:val="2"/>
    </w:pPr>
    <w:rPr>
      <w:rFonts w:ascii="宋体" w:cs="Courier New" w:eastAsia="黑体" w:hAnsi="宋体"/>
      <w:b/>
      <w:bCs/>
      <w:szCs w:val="32"/>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28">
    <w:name w:val="Normal Indent"/>
    <w:basedOn w:val="style0"/>
    <w:next w:val="style28"/>
    <w:qFormat/>
    <w:uiPriority w:val="0"/>
    <w:pPr>
      <w:autoSpaceDE w:val="false"/>
      <w:autoSpaceDN w:val="false"/>
      <w:adjustRightInd w:val="false"/>
      <w:ind w:firstLine="420"/>
      <w:jc w:val="left"/>
      <w:textAlignment w:val="baseline"/>
    </w:pPr>
    <w:rPr>
      <w:rFonts w:ascii="宋体"/>
      <w:kern w:val="0"/>
      <w:sz w:val="34"/>
      <w:szCs w:val="20"/>
    </w:rPr>
  </w:style>
  <w:style w:type="paragraph" w:styleId="style89">
    <w:name w:val="Document Map"/>
    <w:basedOn w:val="style0"/>
    <w:next w:val="style89"/>
    <w:link w:val="style4102"/>
    <w:qFormat/>
    <w:uiPriority w:val="99"/>
    <w:pPr/>
    <w:rPr>
      <w:rFonts w:ascii="宋体"/>
      <w:sz w:val="18"/>
      <w:szCs w:val="18"/>
    </w:rPr>
  </w:style>
  <w:style w:type="paragraph" w:styleId="style67">
    <w:name w:val="Body Text Indent"/>
    <w:basedOn w:val="style0"/>
    <w:next w:val="style67"/>
    <w:qFormat/>
    <w:uiPriority w:val="99"/>
    <w:pPr>
      <w:snapToGrid w:val="false"/>
      <w:spacing w:beforeLines="50" w:lineRule="auto" w:line="300"/>
      <w:ind w:left="420"/>
    </w:pPr>
    <w:rPr>
      <w:rFonts w:ascii="新宋体" w:eastAsia="新宋体" w:hAnsi="新宋体"/>
      <w:spacing w:val="10"/>
      <w:sz w:val="24"/>
    </w:rPr>
  </w:style>
  <w:style w:type="paragraph" w:styleId="style153">
    <w:name w:val="Balloon Text"/>
    <w:basedOn w:val="style0"/>
    <w:next w:val="style153"/>
    <w:link w:val="style4099"/>
    <w:qFormat/>
    <w:uiPriority w:val="99"/>
    <w:pPr/>
    <w:rPr>
      <w:sz w:val="18"/>
      <w:szCs w:val="18"/>
    </w:rPr>
  </w:style>
  <w:style w:type="paragraph" w:styleId="style32">
    <w:name w:val="footer"/>
    <w:basedOn w:val="style0"/>
    <w:next w:val="style32"/>
    <w:link w:val="style4101"/>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100"/>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99"/>
    <w:pPr/>
    <w:rPr>
      <w:sz w:val="24"/>
    </w:rPr>
  </w:style>
  <w:style w:type="character" w:styleId="style85">
    <w:name w:val="Hyperlink"/>
    <w:basedOn w:val="style65"/>
    <w:next w:val="style85"/>
    <w:qFormat/>
    <w:uiPriority w:val="99"/>
    <w:rPr>
      <w:color w:val="0000ff"/>
      <w:u w:val="single"/>
    </w:rPr>
  </w:style>
  <w:style w:type="character" w:customStyle="1" w:styleId="style4097">
    <w:name w:val="本文正文 Char Char"/>
    <w:next w:val="style4097"/>
    <w:link w:val="style4098"/>
    <w:qFormat/>
    <w:uiPriority w:val="0"/>
    <w:rPr>
      <w:rFonts w:ascii="Arial" w:hAnsi="Arial"/>
      <w:kern w:val="2"/>
      <w:sz w:val="24"/>
      <w:lang w:bidi="en-US"/>
    </w:rPr>
  </w:style>
  <w:style w:type="paragraph" w:customStyle="1" w:styleId="style4098">
    <w:name w:val="本文正文"/>
    <w:basedOn w:val="style0"/>
    <w:next w:val="style4098"/>
    <w:link w:val="style4097"/>
    <w:qFormat/>
    <w:uiPriority w:val="0"/>
    <w:pPr>
      <w:widowControl/>
      <w:adjustRightInd w:val="false"/>
      <w:snapToGrid w:val="false"/>
      <w:spacing w:lineRule="auto" w:line="300"/>
      <w:ind w:firstLine="200" w:firstLineChars="200"/>
      <w:jc w:val="left"/>
    </w:pPr>
    <w:rPr>
      <w:rFonts w:ascii="Arial" w:eastAsia="仿宋_GB2312" w:hAnsi="Arial"/>
      <w:sz w:val="24"/>
      <w:szCs w:val="28"/>
      <w:lang w:bidi="en-US"/>
    </w:rPr>
  </w:style>
  <w:style w:type="character" w:customStyle="1" w:styleId="style4099">
    <w:name w:val="批注框文本 Char"/>
    <w:basedOn w:val="style65"/>
    <w:next w:val="style4099"/>
    <w:link w:val="style153"/>
    <w:qFormat/>
    <w:uiPriority w:val="99"/>
    <w:rPr>
      <w:rFonts w:ascii="Calibri" w:eastAsia="宋体" w:hAnsi="Calibri"/>
      <w:kern w:val="2"/>
      <w:sz w:val="18"/>
      <w:szCs w:val="18"/>
    </w:rPr>
  </w:style>
  <w:style w:type="character" w:customStyle="1" w:styleId="style4100">
    <w:name w:val="页眉 Char"/>
    <w:basedOn w:val="style65"/>
    <w:next w:val="style4100"/>
    <w:link w:val="style31"/>
    <w:qFormat/>
    <w:uiPriority w:val="99"/>
    <w:rPr>
      <w:rFonts w:ascii="Calibri" w:eastAsia="宋体" w:hAnsi="Calibri"/>
      <w:kern w:val="2"/>
      <w:sz w:val="18"/>
      <w:szCs w:val="18"/>
    </w:rPr>
  </w:style>
  <w:style w:type="character" w:customStyle="1" w:styleId="style4101">
    <w:name w:val="页脚 Char"/>
    <w:basedOn w:val="style65"/>
    <w:next w:val="style4101"/>
    <w:link w:val="style32"/>
    <w:qFormat/>
    <w:uiPriority w:val="99"/>
    <w:rPr>
      <w:rFonts w:ascii="Calibri" w:eastAsia="宋体" w:hAnsi="Calibri"/>
      <w:kern w:val="2"/>
      <w:sz w:val="18"/>
      <w:szCs w:val="18"/>
    </w:rPr>
  </w:style>
  <w:style w:type="character" w:customStyle="1" w:styleId="style4102">
    <w:name w:val="文档结构图 Char"/>
    <w:basedOn w:val="style65"/>
    <w:next w:val="style4102"/>
    <w:link w:val="style89"/>
    <w:qFormat/>
    <w:uiPriority w:val="99"/>
    <w:rPr>
      <w:rFonts w:ascii="宋体" w:eastAsia="宋体" w:hAnsi="Calibri"/>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9B798E-0434-4E33-A609-34368D350E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Words>763</Words>
  <Pages>1</Pages>
  <Characters>866</Characters>
  <Application>WPS Office</Application>
  <DocSecurity>0</DocSecurity>
  <Paragraphs>39</Paragraphs>
  <ScaleCrop>false</ScaleCrop>
  <Company>Microsoft</Company>
  <LinksUpToDate>false</LinksUpToDate>
  <CharactersWithSpaces>943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2018-07-09T07:44:00Z</dcterms:created>
  <dc:creator>jt</dc:creator>
  <lastModifiedBy>LYA-AL10</lastModifiedBy>
  <lastPrinted>2020-06-10T06:46:00Z</lastPrinted>
  <dcterms:modified xsi:type="dcterms:W3CDTF">2020-07-22T04:27:41Z</dcterms:modified>
  <revision>17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