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360" w:lineRule="auto"/>
        <w:jc w:val="center"/>
        <w:rPr>
          <w:rFonts w:hint="eastAsia" w:ascii="Times New Roman" w:hAnsi="Times New Roman" w:eastAsia="仿宋" w:cs="仿宋"/>
          <w:b/>
          <w:bCs/>
          <w:color w:val="auto"/>
          <w:sz w:val="52"/>
          <w:szCs w:val="52"/>
          <w:lang w:val="en-US" w:eastAsia="zh-CN"/>
        </w:rPr>
      </w:pPr>
    </w:p>
    <w:p>
      <w:pPr>
        <w:spacing w:line="360" w:lineRule="auto"/>
        <w:jc w:val="center"/>
        <w:rPr>
          <w:rFonts w:hint="eastAsia" w:ascii="Times New Roman" w:hAnsi="Times New Roman" w:eastAsia="仿宋" w:cs="仿宋"/>
          <w:b/>
          <w:bCs/>
          <w:color w:val="auto"/>
          <w:sz w:val="52"/>
          <w:szCs w:val="52"/>
          <w:lang w:val="en-US" w:eastAsia="zh-CN"/>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52"/>
          <w:szCs w:val="52"/>
        </w:rPr>
      </w:pPr>
      <w:r>
        <w:rPr>
          <w:rFonts w:hint="eastAsia" w:ascii="宋体" w:hAnsi="宋体"/>
          <w:b/>
          <w:kern w:val="2"/>
          <w:sz w:val="52"/>
          <w:szCs w:val="52"/>
        </w:rPr>
        <w:t>广东省韩江高陂水利枢纽工程</w:t>
      </w: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r>
        <w:rPr>
          <w:rFonts w:hint="eastAsia" w:ascii="宋体" w:hAnsi="宋体"/>
          <w:b/>
          <w:kern w:val="2"/>
          <w:sz w:val="72"/>
          <w:szCs w:val="72"/>
        </w:rPr>
        <w:t>移民临时搬迁安置</w:t>
      </w: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eastAsia="宋体"/>
          <w:b/>
          <w:kern w:val="2"/>
          <w:sz w:val="72"/>
          <w:szCs w:val="72"/>
          <w:lang w:eastAsia="zh-CN"/>
        </w:rPr>
      </w:pPr>
      <w:r>
        <w:rPr>
          <w:rFonts w:hint="eastAsia" w:ascii="宋体" w:hAnsi="宋体"/>
          <w:b/>
          <w:kern w:val="2"/>
          <w:sz w:val="72"/>
          <w:szCs w:val="72"/>
        </w:rPr>
        <w:t>调查</w:t>
      </w:r>
      <w:r>
        <w:rPr>
          <w:rFonts w:hint="eastAsia" w:ascii="宋体" w:hAnsi="宋体"/>
          <w:b/>
          <w:kern w:val="2"/>
          <w:sz w:val="72"/>
          <w:szCs w:val="72"/>
          <w:lang w:eastAsia="zh-CN"/>
        </w:rPr>
        <w:t>报告</w:t>
      </w: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8"/>
        <w:keepNext w:val="0"/>
        <w:keepLines w:val="0"/>
        <w:pageBreakBefore w:val="0"/>
        <w:widowControl w:val="0"/>
        <w:kinsoku/>
        <w:wordWrap/>
        <w:overflowPunct/>
        <w:topLinePunct w:val="0"/>
        <w:autoSpaceDE/>
        <w:autoSpaceDN/>
        <w:bidi w:val="0"/>
        <w:adjustRightInd/>
        <w:snapToGrid/>
        <w:spacing w:after="157" w:afterLines="50" w:line="720" w:lineRule="auto"/>
        <w:jc w:val="center"/>
        <w:textAlignment w:val="auto"/>
        <w:rPr>
          <w:rFonts w:hint="eastAsia" w:ascii="宋体" w:hAnsi="宋体"/>
          <w:b/>
          <w:kern w:val="2"/>
          <w:sz w:val="72"/>
          <w:szCs w:val="72"/>
        </w:rPr>
      </w:pPr>
    </w:p>
    <w:p>
      <w:pPr>
        <w:pStyle w:val="9"/>
        <w:keepNext w:val="0"/>
        <w:keepLines w:val="0"/>
        <w:widowControl w:val="0"/>
        <w:tabs>
          <w:tab w:val="center" w:pos="4422"/>
          <w:tab w:val="right" w:pos="8844"/>
        </w:tabs>
        <w:spacing w:before="120" w:after="120" w:line="580" w:lineRule="exact"/>
        <w:ind w:firstLine="0" w:firstLineChars="0"/>
        <w:jc w:val="center"/>
        <w:rPr>
          <w:rFonts w:hint="eastAsia" w:ascii="宋体" w:hAnsi="宋体"/>
          <w:b/>
          <w:bCs w:val="0"/>
          <w:color w:val="auto"/>
          <w:sz w:val="36"/>
          <w:szCs w:val="36"/>
          <w:lang w:val="zh-CN"/>
        </w:rPr>
      </w:pPr>
      <w:bookmarkStart w:id="0" w:name="_Toc12246"/>
      <w:bookmarkStart w:id="1" w:name="_Toc32252"/>
      <w:r>
        <w:rPr>
          <w:rFonts w:hint="eastAsia" w:ascii="宋体" w:hAnsi="宋体"/>
          <w:b/>
          <w:bCs w:val="0"/>
          <w:color w:val="auto"/>
          <w:sz w:val="36"/>
          <w:szCs w:val="36"/>
          <w:lang w:val="zh-CN"/>
        </w:rPr>
        <w:t>广东江河工程咨询有限公司</w:t>
      </w:r>
      <w:bookmarkEnd w:id="0"/>
      <w:bookmarkEnd w:id="1"/>
    </w:p>
    <w:p>
      <w:pPr>
        <w:spacing w:line="360" w:lineRule="auto"/>
        <w:jc w:val="center"/>
        <w:rPr>
          <w:rFonts w:hint="eastAsia" w:ascii="宋体" w:hAnsi="宋体"/>
          <w:b/>
          <w:bCs w:val="0"/>
          <w:color w:val="auto"/>
          <w:sz w:val="36"/>
          <w:szCs w:val="36"/>
        </w:rPr>
        <w:sectPr>
          <w:pgSz w:w="11906" w:h="16838"/>
          <w:pgMar w:top="1440" w:right="1800" w:bottom="1440" w:left="1800" w:header="851" w:footer="992" w:gutter="0"/>
          <w:pgNumType w:fmt="decimal"/>
          <w:cols w:space="425" w:num="1"/>
          <w:docGrid w:type="lines" w:linePitch="312" w:charSpace="0"/>
        </w:sectPr>
      </w:pPr>
      <w:bookmarkStart w:id="2" w:name="_Toc4691"/>
      <w:r>
        <w:rPr>
          <w:rFonts w:hint="eastAsia" w:ascii="宋体" w:hAnsi="宋体"/>
          <w:b/>
          <w:bCs w:val="0"/>
          <w:color w:val="auto"/>
          <w:sz w:val="36"/>
          <w:szCs w:val="36"/>
        </w:rPr>
        <w:t>2020年10月</w:t>
      </w:r>
      <w:bookmarkEnd w:id="2"/>
    </w:p>
    <w:p>
      <w:pPr>
        <w:spacing w:line="360" w:lineRule="auto"/>
        <w:jc w:val="center"/>
        <w:rPr>
          <w:rFonts w:hint="eastAsia" w:ascii="宋体" w:hAnsi="宋体"/>
          <w:b/>
          <w:bCs w:val="0"/>
          <w:color w:val="auto"/>
          <w:sz w:val="36"/>
          <w:szCs w:val="36"/>
          <w:lang w:eastAsia="zh-CN"/>
        </w:rPr>
      </w:pPr>
    </w:p>
    <w:p>
      <w:pPr>
        <w:spacing w:line="360" w:lineRule="auto"/>
        <w:jc w:val="center"/>
        <w:rPr>
          <w:rFonts w:hint="eastAsia" w:ascii="宋体" w:hAnsi="宋体"/>
          <w:b/>
          <w:bCs w:val="0"/>
          <w:color w:val="auto"/>
          <w:sz w:val="36"/>
          <w:szCs w:val="36"/>
          <w:lang w:eastAsia="zh-CN"/>
        </w:rPr>
      </w:pPr>
      <w:r>
        <w:rPr>
          <w:rFonts w:hint="eastAsia" w:ascii="宋体" w:hAnsi="宋体"/>
          <w:b/>
          <w:bCs w:val="0"/>
          <w:color w:val="auto"/>
          <w:sz w:val="36"/>
          <w:szCs w:val="36"/>
          <w:lang w:eastAsia="zh-CN"/>
        </w:rPr>
        <w:t>目</w:t>
      </w:r>
      <w:r>
        <w:rPr>
          <w:rFonts w:hint="eastAsia" w:ascii="宋体" w:hAnsi="宋体"/>
          <w:b/>
          <w:bCs w:val="0"/>
          <w:color w:val="auto"/>
          <w:sz w:val="36"/>
          <w:szCs w:val="36"/>
          <w:lang w:val="en-US" w:eastAsia="zh-CN"/>
        </w:rPr>
        <w:t xml:space="preserve"> </w:t>
      </w:r>
      <w:r>
        <w:rPr>
          <w:rFonts w:hint="eastAsia" w:ascii="宋体" w:hAnsi="宋体"/>
          <w:b/>
          <w:bCs w:val="0"/>
          <w:color w:val="auto"/>
          <w:sz w:val="36"/>
          <w:szCs w:val="36"/>
          <w:lang w:eastAsia="zh-CN"/>
        </w:rPr>
        <w:t>录</w:t>
      </w:r>
    </w:p>
    <w:sdt>
      <w:sdtPr>
        <w:rPr>
          <w:rFonts w:ascii="宋体" w:hAnsi="宋体" w:eastAsia="宋体" w:cstheme="minorBidi"/>
          <w:kern w:val="2"/>
          <w:sz w:val="21"/>
          <w:szCs w:val="24"/>
          <w:lang w:val="en-US" w:eastAsia="zh-CN" w:bidi="ar-SA"/>
        </w:rPr>
        <w:id w:val="147466165"/>
        <w15:color w:val="DBDBDB"/>
        <w:docPartObj>
          <w:docPartGallery w:val="Table of Contents"/>
          <w:docPartUnique/>
        </w:docPartObj>
      </w:sdtPr>
      <w:sdtEndPr>
        <w:rPr>
          <w:rFonts w:hint="eastAsia" w:ascii="宋体" w:hAnsi="宋体" w:eastAsiaTheme="minorEastAsia" w:cstheme="minorBidi"/>
          <w:bCs w:val="0"/>
          <w:color w:val="auto"/>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s>
            <w:rPr>
              <w:rFonts w:hint="eastAsia" w:ascii="仿宋" w:hAnsi="仿宋" w:eastAsia="仿宋" w:cs="仿宋"/>
              <w:sz w:val="32"/>
              <w:szCs w:val="32"/>
            </w:rPr>
          </w:pPr>
          <w:r>
            <w:rPr>
              <w:rFonts w:hint="eastAsia" w:ascii="仿宋" w:hAnsi="仿宋" w:eastAsia="仿宋" w:cs="仿宋"/>
              <w:b/>
              <w:bCs w:val="0"/>
              <w:color w:val="auto"/>
              <w:sz w:val="32"/>
              <w:szCs w:val="32"/>
              <w:lang w:eastAsia="zh-CN"/>
            </w:rPr>
            <w:fldChar w:fldCharType="begin"/>
          </w:r>
          <w:r>
            <w:rPr>
              <w:rFonts w:hint="eastAsia" w:ascii="仿宋" w:hAnsi="仿宋" w:eastAsia="仿宋" w:cs="仿宋"/>
              <w:b/>
              <w:bCs w:val="0"/>
              <w:color w:val="auto"/>
              <w:sz w:val="32"/>
              <w:szCs w:val="32"/>
              <w:lang w:eastAsia="zh-CN"/>
            </w:rPr>
            <w:instrText xml:space="preserve">TOC \o "1-1" \h \u </w:instrText>
          </w:r>
          <w:r>
            <w:rPr>
              <w:rFonts w:hint="eastAsia" w:ascii="仿宋" w:hAnsi="仿宋" w:eastAsia="仿宋" w:cs="仿宋"/>
              <w:b/>
              <w:bCs w:val="0"/>
              <w:color w:val="auto"/>
              <w:sz w:val="32"/>
              <w:szCs w:val="32"/>
              <w:lang w:eastAsia="zh-CN"/>
            </w:rPr>
            <w:fldChar w:fldCharType="separate"/>
          </w: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_Toc6139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一、 调查目的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_Toc6139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_Toc28053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二、 调查范围与对象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_Toc28053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_Toc14468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三、 调查内容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_Toc14468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_Toc4982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四、 调查依据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_Toc4982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_Toc12946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五、 调查方法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_Toc12946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_Toc23509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六、 调查情况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_Toc23509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pStyle w:val="10"/>
            <w:tabs>
              <w:tab w:val="right" w:leader="dot" w:pos="8306"/>
            </w:tabs>
            <w:rPr>
              <w:rFonts w:hint="eastAsia" w:ascii="仿宋" w:hAnsi="仿宋" w:eastAsia="仿宋" w:cs="仿宋"/>
              <w:sz w:val="32"/>
              <w:szCs w:val="32"/>
            </w:rPr>
          </w:pPr>
          <w:r>
            <w:rPr>
              <w:rFonts w:hint="eastAsia" w:ascii="仿宋" w:hAnsi="仿宋" w:eastAsia="仿宋" w:cs="仿宋"/>
              <w:bCs w:val="0"/>
              <w:color w:val="auto"/>
              <w:sz w:val="32"/>
              <w:szCs w:val="32"/>
              <w:lang w:eastAsia="zh-CN"/>
            </w:rPr>
            <w:fldChar w:fldCharType="begin"/>
          </w:r>
          <w:r>
            <w:rPr>
              <w:rFonts w:hint="eastAsia" w:ascii="仿宋" w:hAnsi="仿宋" w:eastAsia="仿宋" w:cs="仿宋"/>
              <w:bCs w:val="0"/>
              <w:sz w:val="32"/>
              <w:szCs w:val="32"/>
              <w:lang w:eastAsia="zh-CN"/>
            </w:rPr>
            <w:instrText xml:space="preserve"> HYPERLINK \l _Toc18677 </w:instrText>
          </w:r>
          <w:r>
            <w:rPr>
              <w:rFonts w:hint="eastAsia" w:ascii="仿宋" w:hAnsi="仿宋" w:eastAsia="仿宋" w:cs="仿宋"/>
              <w:bCs w:val="0"/>
              <w:sz w:val="32"/>
              <w:szCs w:val="32"/>
              <w:lang w:eastAsia="zh-CN"/>
            </w:rPr>
            <w:fldChar w:fldCharType="separate"/>
          </w:r>
          <w:r>
            <w:rPr>
              <w:rFonts w:hint="eastAsia" w:ascii="仿宋" w:hAnsi="仿宋" w:eastAsia="仿宋" w:cs="仿宋"/>
              <w:bCs/>
              <w:kern w:val="44"/>
              <w:sz w:val="32"/>
              <w:szCs w:val="32"/>
              <w:lang w:val="en-US" w:eastAsia="zh-CN" w:bidi="ar-SA"/>
            </w:rPr>
            <w:t>七、 有关说明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_Toc18677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bCs w:val="0"/>
              <w:color w:val="auto"/>
              <w:sz w:val="32"/>
              <w:szCs w:val="32"/>
              <w:lang w:eastAsia="zh-CN"/>
            </w:rPr>
            <w:fldChar w:fldCharType="end"/>
          </w:r>
        </w:p>
        <w:p>
          <w:pPr>
            <w:spacing w:line="360" w:lineRule="auto"/>
            <w:jc w:val="center"/>
            <w:rPr>
              <w:rFonts w:hint="eastAsia" w:ascii="宋体" w:hAnsi="宋体"/>
              <w:b/>
              <w:bCs w:val="0"/>
              <w:color w:val="auto"/>
              <w:sz w:val="36"/>
              <w:szCs w:val="36"/>
              <w:lang w:eastAsia="zh-CN"/>
            </w:rPr>
          </w:pPr>
          <w:r>
            <w:rPr>
              <w:rFonts w:hint="eastAsia" w:ascii="仿宋" w:hAnsi="仿宋" w:eastAsia="仿宋" w:cs="仿宋"/>
              <w:bCs w:val="0"/>
              <w:color w:val="auto"/>
              <w:sz w:val="32"/>
              <w:szCs w:val="32"/>
              <w:lang w:eastAsia="zh-CN"/>
            </w:rPr>
            <w:fldChar w:fldCharType="end"/>
          </w:r>
        </w:p>
      </w:sdtContent>
    </w:sdt>
    <w:p>
      <w:p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spacing w:before="62" w:after="62"/>
        <w:ind w:firstLine="640" w:firstLineChars="200"/>
        <w:rPr>
          <w:rFonts w:hint="eastAsia" w:ascii="Times New Roman" w:hAnsi="Times New Roman" w:eastAsia="仿宋" w:cs="仿宋"/>
          <w:b w:val="0"/>
          <w:bCs/>
          <w:color w:val="auto"/>
          <w:sz w:val="32"/>
          <w:szCs w:val="32"/>
          <w:lang w:eastAsia="zh-CN"/>
        </w:rPr>
      </w:pPr>
      <w:bookmarkStart w:id="3" w:name="_Toc9752"/>
      <w:bookmarkStart w:id="4" w:name="_Toc31206"/>
      <w:bookmarkStart w:id="5" w:name="_Toc31685"/>
      <w:bookmarkStart w:id="6" w:name="_Toc4261"/>
      <w:bookmarkStart w:id="7" w:name="_Toc25929"/>
      <w:r>
        <w:rPr>
          <w:rFonts w:hint="eastAsia" w:ascii="Times New Roman" w:hAnsi="Times New Roman" w:eastAsia="仿宋" w:cs="仿宋"/>
          <w:b w:val="0"/>
          <w:bCs/>
          <w:color w:val="auto"/>
          <w:sz w:val="32"/>
          <w:szCs w:val="32"/>
        </w:rPr>
        <w:t>为做好高陂水利枢纽工程建设移民搬迁安置工作，维护移民合法权益，保障工程建设的顺利进行，</w:t>
      </w:r>
      <w:r>
        <w:rPr>
          <w:rFonts w:hint="eastAsia" w:ascii="Times New Roman" w:hAnsi="Times New Roman" w:eastAsia="仿宋" w:cs="仿宋"/>
          <w:b w:val="0"/>
          <w:bCs/>
          <w:color w:val="FF0000"/>
          <w:sz w:val="32"/>
          <w:szCs w:val="32"/>
          <w:lang w:eastAsia="zh-CN"/>
        </w:rPr>
        <w:t>大埔县移民工作局通过</w:t>
      </w:r>
      <w:r>
        <w:rPr>
          <w:rFonts w:hint="eastAsia" w:ascii="Times New Roman" w:hAnsi="Times New Roman" w:eastAsia="仿宋" w:cs="仿宋"/>
          <w:b w:val="0"/>
          <w:bCs/>
          <w:color w:val="FF0000"/>
          <w:sz w:val="32"/>
          <w:szCs w:val="32"/>
          <w:highlight w:val="none"/>
          <w:lang w:eastAsia="zh-CN"/>
        </w:rPr>
        <w:t>公开招标的</w:t>
      </w:r>
      <w:r>
        <w:rPr>
          <w:rFonts w:hint="eastAsia" w:ascii="Times New Roman" w:hAnsi="Times New Roman" w:eastAsia="仿宋" w:cs="仿宋"/>
          <w:b w:val="0"/>
          <w:bCs/>
          <w:color w:val="FF0000"/>
          <w:sz w:val="32"/>
          <w:szCs w:val="32"/>
          <w:lang w:eastAsia="zh-CN"/>
        </w:rPr>
        <w:t>方式，委托广东江河工程咨询有限公司（以下简称“江河公司”）开展《广东省韩江高陂水利枢纽工程移民临时搬迁安置实施方案》（以下简称“《实施方案》”）编制工作。根据大埔县移民工作局有关要求，江河公司成立了调查工作组，深入镇村开展调查工作。</w:t>
      </w:r>
      <w:r>
        <w:rPr>
          <w:rFonts w:hint="eastAsia" w:ascii="Times New Roman" w:hAnsi="Times New Roman" w:eastAsia="仿宋" w:cs="仿宋"/>
          <w:b w:val="0"/>
          <w:bCs/>
          <w:color w:val="auto"/>
          <w:sz w:val="32"/>
          <w:szCs w:val="32"/>
          <w:lang w:eastAsia="zh-CN"/>
        </w:rPr>
        <w:t>现将调查情况汇报如下：</w:t>
      </w:r>
    </w:p>
    <w:bookmarkEnd w:id="3"/>
    <w:bookmarkEnd w:id="4"/>
    <w:bookmarkEnd w:id="5"/>
    <w:bookmarkEnd w:id="6"/>
    <w:bookmarkEnd w:id="7"/>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黑体" w:hAnsi="黑体" w:eastAsia="黑体" w:cs="黑体"/>
          <w:bCs/>
          <w:kern w:val="44"/>
          <w:sz w:val="32"/>
          <w:szCs w:val="44"/>
          <w:lang w:val="en-US" w:eastAsia="zh-CN" w:bidi="ar-SA"/>
        </w:rPr>
      </w:pPr>
      <w:bookmarkStart w:id="8" w:name="_Toc6139"/>
      <w:r>
        <w:rPr>
          <w:rFonts w:hint="eastAsia" w:ascii="黑体" w:hAnsi="黑体" w:eastAsia="黑体" w:cs="黑体"/>
          <w:bCs/>
          <w:kern w:val="44"/>
          <w:sz w:val="32"/>
          <w:szCs w:val="44"/>
          <w:lang w:val="en-US" w:eastAsia="zh-CN" w:bidi="ar-SA"/>
        </w:rPr>
        <w:t>调查目的</w:t>
      </w:r>
      <w:bookmarkEnd w:id="8"/>
    </w:p>
    <w:p>
      <w:pPr>
        <w:spacing w:line="360" w:lineRule="auto"/>
        <w:ind w:firstLine="640" w:firstLineChars="200"/>
        <w:rPr>
          <w:rFonts w:ascii="Times New Roman" w:hAnsi="Times New Roman" w:eastAsia="仿宋" w:cs="Times New Roman"/>
          <w:sz w:val="32"/>
          <w:szCs w:val="21"/>
        </w:rPr>
      </w:pPr>
      <w:r>
        <w:rPr>
          <w:rFonts w:hint="eastAsia" w:ascii="Times New Roman" w:hAnsi="Times New Roman" w:eastAsia="仿宋" w:cs="Times New Roman"/>
          <w:sz w:val="32"/>
          <w:szCs w:val="21"/>
          <w:lang w:val="en-US" w:eastAsia="zh-CN"/>
        </w:rPr>
        <w:t>通过发放调查表和深度访谈等形式，对移民及各有关部门进行摸底调查，了解临时搬迁安置现状、未搬迁移民临时搬迁意愿</w:t>
      </w:r>
      <w:r>
        <w:rPr>
          <w:rFonts w:hint="eastAsia" w:ascii="Times New Roman" w:hAnsi="Times New Roman" w:eastAsia="仿宋" w:cs="Times New Roman"/>
          <w:sz w:val="32"/>
          <w:szCs w:val="21"/>
          <w:lang w:val="en-US" w:eastAsia="zh-CN"/>
        </w:rPr>
        <w:t>，为编制《实施方案》提供基础数据</w:t>
      </w:r>
      <w:r>
        <w:rPr>
          <w:rFonts w:hint="eastAsia" w:ascii="Times New Roman" w:hAnsi="Times New Roman" w:eastAsia="仿宋" w:cs="Times New Roman"/>
          <w:sz w:val="32"/>
          <w:szCs w:val="21"/>
        </w:rPr>
        <w:t>。</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9" w:name="_Toc28053"/>
      <w:r>
        <w:rPr>
          <w:rFonts w:hint="eastAsia" w:ascii="Times New Roman" w:hAnsi="Times New Roman" w:eastAsia="黑体" w:cs="Times New Roman"/>
          <w:bCs/>
          <w:kern w:val="44"/>
          <w:sz w:val="32"/>
          <w:szCs w:val="44"/>
          <w:lang w:val="en-US" w:eastAsia="zh-CN" w:bidi="ar-SA"/>
        </w:rPr>
        <w:t>调查范围与对象</w:t>
      </w:r>
      <w:bookmarkEnd w:id="9"/>
    </w:p>
    <w:p>
      <w:pPr>
        <w:spacing w:line="360" w:lineRule="auto"/>
        <w:ind w:firstLine="640" w:firstLineChars="200"/>
        <w:rPr>
          <w:rFonts w:hint="eastAsia" w:ascii="Times New Roman" w:hAnsi="Times New Roman" w:eastAsia="仿宋" w:cs="Times New Roman"/>
          <w:color w:val="auto"/>
          <w:sz w:val="32"/>
          <w:szCs w:val="21"/>
        </w:rPr>
      </w:pPr>
      <w:r>
        <w:rPr>
          <w:rFonts w:hint="eastAsia" w:ascii="Times New Roman" w:hAnsi="Times New Roman" w:eastAsia="仿宋" w:cs="Times New Roman"/>
          <w:color w:val="auto"/>
          <w:sz w:val="32"/>
          <w:szCs w:val="21"/>
          <w:lang w:eastAsia="zh-CN"/>
        </w:rPr>
        <w:t>调查范围为</w:t>
      </w:r>
      <w:r>
        <w:rPr>
          <w:rFonts w:hint="eastAsia" w:ascii="Times New Roman" w:hAnsi="Times New Roman" w:eastAsia="仿宋" w:cs="Times New Roman"/>
          <w:color w:val="auto"/>
          <w:sz w:val="32"/>
          <w:szCs w:val="21"/>
          <w:lang w:eastAsia="zh-CN"/>
        </w:rPr>
        <w:t>高陂水利枢纽工程</w:t>
      </w:r>
      <w:r>
        <w:rPr>
          <w:rFonts w:hint="eastAsia" w:ascii="Times New Roman" w:hAnsi="Times New Roman" w:eastAsia="仿宋" w:cs="Times New Roman"/>
          <w:color w:val="auto"/>
          <w:sz w:val="32"/>
          <w:szCs w:val="21"/>
          <w:lang w:eastAsia="zh-CN"/>
        </w:rPr>
        <w:t>临时搬迁安置人口</w:t>
      </w:r>
      <w:r>
        <w:rPr>
          <w:rFonts w:hint="eastAsia" w:ascii="Times New Roman" w:hAnsi="Times New Roman" w:eastAsia="仿宋" w:cs="Times New Roman"/>
          <w:color w:val="auto"/>
          <w:sz w:val="32"/>
          <w:szCs w:val="21"/>
          <w:lang w:val="en-US" w:eastAsia="zh-CN"/>
        </w:rPr>
        <w:t>682户</w:t>
      </w:r>
      <w:r>
        <w:rPr>
          <w:rFonts w:hint="eastAsia" w:ascii="Times New Roman" w:hAnsi="Times New Roman" w:eastAsia="仿宋" w:cs="Times New Roman"/>
          <w:color w:val="auto"/>
          <w:sz w:val="32"/>
          <w:szCs w:val="21"/>
          <w:lang w:eastAsia="zh-CN"/>
        </w:rPr>
        <w:t>3360人，涉及镇村包括高陂镇渡头村、党溪村、银滩村、九龙村，三河镇汇城村、汇东村，银江镇</w:t>
      </w:r>
      <w:r>
        <w:rPr>
          <w:rFonts w:hint="eastAsia" w:ascii="Times New Roman" w:hAnsi="Times New Roman" w:eastAsia="仿宋" w:cs="Times New Roman"/>
          <w:color w:val="auto"/>
          <w:sz w:val="32"/>
          <w:szCs w:val="21"/>
          <w:lang w:eastAsia="zh-CN"/>
        </w:rPr>
        <w:tab/>
      </w:r>
      <w:r>
        <w:rPr>
          <w:rFonts w:hint="eastAsia" w:ascii="Times New Roman" w:hAnsi="Times New Roman" w:eastAsia="仿宋" w:cs="Times New Roman"/>
          <w:color w:val="auto"/>
          <w:sz w:val="32"/>
          <w:szCs w:val="21"/>
          <w:lang w:eastAsia="zh-CN"/>
        </w:rPr>
        <w:t>河口村、坑口村，大麻镇社区、中兰村、恭下村、莲塘村、北埔村、南坑村、裕洲村</w:t>
      </w:r>
      <w:r>
        <w:rPr>
          <w:rFonts w:hint="eastAsia" w:ascii="Times New Roman" w:hAnsi="Times New Roman" w:eastAsia="仿宋" w:cs="Times New Roman"/>
          <w:color w:val="auto"/>
          <w:sz w:val="32"/>
          <w:szCs w:val="21"/>
        </w:rPr>
        <w:t>。</w:t>
      </w:r>
    </w:p>
    <w:p>
      <w:pPr>
        <w:spacing w:line="360" w:lineRule="auto"/>
        <w:ind w:firstLine="640" w:firstLineChars="200"/>
        <w:rPr>
          <w:rFonts w:hint="eastAsia" w:ascii="Times New Roman" w:hAnsi="Times New Roman" w:eastAsia="仿宋" w:cs="Times New Roman"/>
          <w:color w:val="FF0000"/>
          <w:sz w:val="32"/>
          <w:szCs w:val="21"/>
        </w:rPr>
      </w:pPr>
      <w:r>
        <w:rPr>
          <w:rFonts w:hint="eastAsia" w:ascii="Times New Roman" w:hAnsi="Times New Roman" w:eastAsia="仿宋" w:cs="Times New Roman"/>
          <w:color w:val="FF0000"/>
          <w:sz w:val="32"/>
          <w:szCs w:val="21"/>
          <w:lang w:eastAsia="zh-CN"/>
        </w:rPr>
        <w:t>调查对象为调查范围内</w:t>
      </w:r>
      <w:r>
        <w:rPr>
          <w:rFonts w:hint="eastAsia" w:ascii="Times New Roman" w:hAnsi="Times New Roman" w:eastAsia="仿宋" w:cs="Times New Roman"/>
          <w:color w:val="FF0000"/>
          <w:sz w:val="32"/>
          <w:szCs w:val="21"/>
          <w:lang w:eastAsia="zh-CN"/>
        </w:rPr>
        <w:t>尚未搬迁的移民搬迁安置人口，以及各有关镇村工作人员。</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10" w:name="_Toc14468"/>
      <w:r>
        <w:rPr>
          <w:rFonts w:hint="eastAsia" w:ascii="Times New Roman" w:hAnsi="Times New Roman" w:eastAsia="黑体" w:cs="Times New Roman"/>
          <w:bCs/>
          <w:kern w:val="44"/>
          <w:sz w:val="32"/>
          <w:szCs w:val="44"/>
          <w:lang w:val="en-US" w:eastAsia="zh-CN" w:bidi="ar-SA"/>
        </w:rPr>
        <w:t>调查内容</w:t>
      </w:r>
      <w:bookmarkEnd w:id="10"/>
    </w:p>
    <w:p>
      <w:pPr>
        <w:numPr>
          <w:ilvl w:val="0"/>
          <w:numId w:val="2"/>
        </w:numPr>
        <w:spacing w:line="360" w:lineRule="auto"/>
        <w:ind w:firstLine="640" w:firstLineChars="200"/>
        <w:rPr>
          <w:rFonts w:hint="eastAsia" w:ascii="Times New Roman" w:hAnsi="Times New Roman" w:eastAsia="仿宋" w:cs="Times New Roman"/>
          <w:color w:val="auto"/>
          <w:sz w:val="32"/>
          <w:szCs w:val="21"/>
          <w:lang w:val="en-US" w:eastAsia="zh-CN"/>
        </w:rPr>
      </w:pPr>
      <w:r>
        <w:rPr>
          <w:rFonts w:hint="eastAsia" w:ascii="Times New Roman" w:hAnsi="Times New Roman" w:eastAsia="仿宋" w:cs="Times New Roman"/>
          <w:color w:val="auto"/>
          <w:sz w:val="32"/>
          <w:szCs w:val="21"/>
          <w:lang w:val="en-US" w:eastAsia="zh-CN"/>
        </w:rPr>
        <w:t>移民搬迁安置及临时搬迁安置有关资料；</w:t>
      </w:r>
    </w:p>
    <w:p>
      <w:pPr>
        <w:numPr>
          <w:ilvl w:val="0"/>
          <w:numId w:val="2"/>
        </w:numPr>
        <w:spacing w:line="360" w:lineRule="auto"/>
        <w:ind w:firstLine="640" w:firstLineChars="200"/>
        <w:rPr>
          <w:rFonts w:hint="eastAsia" w:ascii="Times New Roman" w:hAnsi="Times New Roman" w:eastAsia="仿宋" w:cs="Times New Roman"/>
          <w:color w:val="auto"/>
          <w:sz w:val="32"/>
          <w:szCs w:val="21"/>
          <w:lang w:val="en-US" w:eastAsia="zh-CN"/>
        </w:rPr>
      </w:pPr>
      <w:r>
        <w:rPr>
          <w:rFonts w:hint="eastAsia" w:ascii="Times New Roman" w:hAnsi="Times New Roman" w:eastAsia="仿宋" w:cs="Times New Roman"/>
          <w:sz w:val="32"/>
          <w:szCs w:val="21"/>
          <w:lang w:val="en-US" w:eastAsia="zh-CN"/>
        </w:rPr>
        <w:t>各镇村移民临时搬迁安置进展情况；</w:t>
      </w:r>
    </w:p>
    <w:p>
      <w:pPr>
        <w:numPr>
          <w:ilvl w:val="0"/>
          <w:numId w:val="2"/>
        </w:numPr>
        <w:spacing w:line="360" w:lineRule="auto"/>
        <w:ind w:firstLine="640" w:firstLineChars="200"/>
        <w:rPr>
          <w:rFonts w:hint="eastAsia" w:ascii="Times New Roman" w:hAnsi="Times New Roman" w:eastAsia="仿宋" w:cs="Times New Roman"/>
          <w:color w:val="auto"/>
          <w:sz w:val="32"/>
          <w:szCs w:val="21"/>
          <w:lang w:val="en-US" w:eastAsia="zh-CN"/>
        </w:rPr>
      </w:pPr>
      <w:r>
        <w:rPr>
          <w:rFonts w:hint="eastAsia" w:ascii="Times New Roman" w:hAnsi="Times New Roman" w:eastAsia="仿宋" w:cs="Times New Roman"/>
          <w:color w:val="auto"/>
          <w:sz w:val="32"/>
          <w:szCs w:val="21"/>
          <w:lang w:val="en-US" w:eastAsia="zh-CN"/>
        </w:rPr>
        <w:t>尚未搬迁移民的临时搬迁安置意愿；</w:t>
      </w:r>
    </w:p>
    <w:p>
      <w:pPr>
        <w:numPr>
          <w:ilvl w:val="0"/>
          <w:numId w:val="2"/>
        </w:numPr>
        <w:spacing w:line="360" w:lineRule="auto"/>
        <w:ind w:firstLine="640" w:firstLineChars="200"/>
        <w:rPr>
          <w:rFonts w:hint="default" w:ascii="Times New Roman" w:hAnsi="Times New Roman" w:eastAsia="仿宋" w:cs="Times New Roman"/>
          <w:color w:val="auto"/>
          <w:sz w:val="32"/>
          <w:szCs w:val="21"/>
          <w:lang w:val="en-US" w:eastAsia="zh-CN"/>
        </w:rPr>
      </w:pPr>
      <w:r>
        <w:rPr>
          <w:rFonts w:hint="eastAsia" w:ascii="Times New Roman" w:hAnsi="Times New Roman" w:eastAsia="仿宋" w:cs="Times New Roman"/>
          <w:color w:val="auto"/>
          <w:sz w:val="32"/>
          <w:szCs w:val="21"/>
          <w:lang w:val="en-US" w:eastAsia="zh-CN"/>
        </w:rPr>
        <w:t>临时搬迁安置点选取（如需）。</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11" w:name="_Toc4982"/>
      <w:r>
        <w:rPr>
          <w:rFonts w:hint="eastAsia" w:ascii="Times New Roman" w:hAnsi="Times New Roman" w:eastAsia="黑体" w:cs="Times New Roman"/>
          <w:bCs/>
          <w:kern w:val="44"/>
          <w:sz w:val="32"/>
          <w:szCs w:val="44"/>
          <w:lang w:val="en-US" w:eastAsia="zh-CN" w:bidi="ar-SA"/>
        </w:rPr>
        <w:t>调查依据</w:t>
      </w:r>
      <w:bookmarkEnd w:id="11"/>
    </w:p>
    <w:p>
      <w:pPr>
        <w:numPr>
          <w:ilvl w:val="0"/>
          <w:numId w:val="3"/>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《梅州市人民政府办公室关于印发梅州市大埔韩江高陂水利枢纽工程建设征地补偿和移民安置管理办法的通知》（梅市府办〔2015〕43号）；</w:t>
      </w:r>
    </w:p>
    <w:p>
      <w:pPr>
        <w:numPr>
          <w:ilvl w:val="0"/>
          <w:numId w:val="3"/>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《广东省韩江高陂水利枢纽工程建设征地移民安置规划大纲》；</w:t>
      </w:r>
    </w:p>
    <w:p>
      <w:pPr>
        <w:numPr>
          <w:ilvl w:val="0"/>
          <w:numId w:val="3"/>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《广东省韩江高陂水利枢纽工程可行性研究报告》；</w:t>
      </w:r>
    </w:p>
    <w:p>
      <w:pPr>
        <w:numPr>
          <w:ilvl w:val="0"/>
          <w:numId w:val="3"/>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《广东省韩江高陂水利枢纽工程初步设计建设征地移民安置专题报告》；</w:t>
      </w:r>
    </w:p>
    <w:p>
      <w:pPr>
        <w:numPr>
          <w:ilvl w:val="0"/>
          <w:numId w:val="3"/>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其他与高陂水利枢纽工程移民搬迁安置有关的文件资料。</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12" w:name="_Toc12946"/>
      <w:r>
        <w:rPr>
          <w:rFonts w:hint="eastAsia" w:ascii="Times New Roman" w:hAnsi="Times New Roman" w:eastAsia="黑体" w:cs="Times New Roman"/>
          <w:bCs/>
          <w:kern w:val="44"/>
          <w:sz w:val="32"/>
          <w:szCs w:val="44"/>
          <w:lang w:val="en-US" w:eastAsia="zh-CN" w:bidi="ar-SA"/>
        </w:rPr>
        <w:t>调查方法</w:t>
      </w:r>
      <w:bookmarkEnd w:id="12"/>
    </w:p>
    <w:p>
      <w:pPr>
        <w:numPr>
          <w:ilvl w:val="0"/>
          <w:numId w:val="4"/>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收集资料。收集与高陂水利枢纽工程移民搬迁安置有关的各种文献资料，包括移民安置规划大纲、可行性研究报告、初步设计建设征地移民安置专题报告、以往制定的临时搬迁安置政策文件、已签订的移民临时搬迁安置协议和临时搬迁安置补助支付资料，以及其他有关资料等。由镇村填写调查表，了解移民临时搬迁安置进展情况。</w:t>
      </w:r>
    </w:p>
    <w:p>
      <w:pPr>
        <w:numPr>
          <w:ilvl w:val="0"/>
          <w:numId w:val="4"/>
        </w:numPr>
        <w:spacing w:line="360" w:lineRule="auto"/>
        <w:ind w:firstLine="640" w:firstLineChars="200"/>
        <w:rPr>
          <w:rFonts w:hint="eastAsia"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问卷调查。</w:t>
      </w:r>
      <w:r>
        <w:rPr>
          <w:rFonts w:hint="eastAsia" w:ascii="Times New Roman" w:hAnsi="Times New Roman" w:eastAsia="仿宋" w:cs="仿宋"/>
          <w:b w:val="0"/>
          <w:bCs/>
          <w:color w:val="auto"/>
          <w:sz w:val="32"/>
          <w:szCs w:val="32"/>
          <w:lang w:eastAsia="zh-CN"/>
        </w:rPr>
        <w:t>在大埔县移民工作局及镇村工作人员的陪同下，入村入户</w:t>
      </w:r>
      <w:r>
        <w:rPr>
          <w:rFonts w:hint="eastAsia" w:ascii="Times New Roman" w:hAnsi="Times New Roman" w:eastAsia="仿宋" w:cs="Times New Roman"/>
          <w:color w:val="auto"/>
          <w:sz w:val="32"/>
          <w:szCs w:val="21"/>
          <w:lang w:val="en-US" w:eastAsia="zh-CN"/>
        </w:rPr>
        <w:t>发</w:t>
      </w:r>
      <w:r>
        <w:rPr>
          <w:rFonts w:hint="eastAsia" w:ascii="Times New Roman" w:hAnsi="Times New Roman" w:eastAsia="仿宋" w:cs="Times New Roman"/>
          <w:sz w:val="32"/>
          <w:szCs w:val="21"/>
          <w:lang w:val="en-US" w:eastAsia="zh-CN"/>
        </w:rPr>
        <w:t>放《广东省韩江高陂水利枢纽工程移民临时搬迁意愿调查表》，</w:t>
      </w:r>
      <w:r>
        <w:rPr>
          <w:rFonts w:hint="eastAsia" w:ascii="Times New Roman" w:hAnsi="Times New Roman" w:eastAsia="仿宋" w:cs="仿宋"/>
          <w:b w:val="0"/>
          <w:bCs/>
          <w:color w:val="auto"/>
          <w:sz w:val="32"/>
          <w:szCs w:val="32"/>
          <w:lang w:eastAsia="zh-CN"/>
        </w:rPr>
        <w:t>逐户</w:t>
      </w:r>
      <w:r>
        <w:rPr>
          <w:rFonts w:hint="eastAsia" w:ascii="Times New Roman" w:hAnsi="Times New Roman" w:eastAsia="仿宋" w:cs="Times New Roman"/>
          <w:color w:val="auto"/>
          <w:sz w:val="32"/>
          <w:szCs w:val="21"/>
          <w:lang w:val="en-US" w:eastAsia="zh-CN"/>
        </w:rPr>
        <w:t>了</w:t>
      </w:r>
      <w:r>
        <w:rPr>
          <w:rFonts w:hint="eastAsia" w:ascii="Times New Roman" w:hAnsi="Times New Roman" w:eastAsia="仿宋" w:cs="Times New Roman"/>
          <w:sz w:val="32"/>
          <w:szCs w:val="21"/>
          <w:lang w:val="en-US" w:eastAsia="zh-CN"/>
        </w:rPr>
        <w:t>解尚未搬迁移民对临时搬迁安置方式的选择意向。</w:t>
      </w:r>
    </w:p>
    <w:p>
      <w:pPr>
        <w:numPr>
          <w:ilvl w:val="0"/>
          <w:numId w:val="4"/>
        </w:numPr>
        <w:spacing w:line="360" w:lineRule="auto"/>
        <w:ind w:firstLine="640" w:firstLineChars="200"/>
        <w:rPr>
          <w:rFonts w:hint="eastAsia" w:ascii="Times New Roman" w:hAnsi="Times New Roman" w:eastAsia="仿宋" w:cs="仿宋"/>
          <w:color w:val="auto"/>
          <w:sz w:val="36"/>
          <w:szCs w:val="36"/>
          <w:lang w:val="en-US" w:eastAsia="zh-CN"/>
        </w:rPr>
      </w:pPr>
      <w:r>
        <w:rPr>
          <w:rFonts w:hint="eastAsia" w:ascii="Times New Roman" w:hAnsi="Times New Roman" w:eastAsia="仿宋" w:cs="Times New Roman"/>
          <w:sz w:val="32"/>
          <w:szCs w:val="21"/>
          <w:lang w:val="en-US" w:eastAsia="zh-CN"/>
        </w:rPr>
        <w:t>深度访谈。对部分移民户进行深度访谈，主要了解其居住现状，以及在临时搬迁安置方面存在的主要问题和诉求。</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13" w:name="_Toc23509"/>
      <w:r>
        <w:rPr>
          <w:rFonts w:hint="eastAsia" w:ascii="Times New Roman" w:hAnsi="Times New Roman" w:eastAsia="黑体" w:cs="Times New Roman"/>
          <w:bCs/>
          <w:kern w:val="44"/>
          <w:sz w:val="32"/>
          <w:szCs w:val="44"/>
          <w:lang w:val="en-US" w:eastAsia="zh-CN" w:bidi="ar-SA"/>
        </w:rPr>
        <w:t>调查情况</w:t>
      </w:r>
      <w:bookmarkEnd w:id="13"/>
    </w:p>
    <w:p>
      <w:pPr>
        <w:numPr>
          <w:ilvl w:val="0"/>
          <w:numId w:val="5"/>
        </w:numPr>
        <w:spacing w:line="360" w:lineRule="auto"/>
        <w:ind w:firstLine="640" w:firstLineChars="200"/>
        <w:rPr>
          <w:rFonts w:hint="default"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资料收集情况</w:t>
      </w:r>
    </w:p>
    <w:p>
      <w:pPr>
        <w:spacing w:line="360" w:lineRule="auto"/>
        <w:ind w:firstLine="640" w:firstLineChars="200"/>
        <w:rPr>
          <w:rFonts w:hint="default"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除上述资料外，本次调查还收集了《大埔县人民政府关于印发广东省梅州市大埔枢纽工程辅助配套项目移民临时安置暂行实施办法的通知》（埔府〔2015〕87号）、《广东省韩江高陂水利枢纽工程施工期洪水库区临时淹没影响应搬迁安置移民实行防洪安全转移预案管理》、《大埔县人民政府办公室关于印发广东省韩江高陂水利枢纽工程安置区建设实施意见的通知》（埔府办〔2018〕30号）等与移民临时搬迁安置密切相关的文件资料。</w:t>
      </w:r>
    </w:p>
    <w:p>
      <w:pPr>
        <w:numPr>
          <w:ilvl w:val="0"/>
          <w:numId w:val="5"/>
        </w:numPr>
        <w:spacing w:line="360" w:lineRule="auto"/>
        <w:ind w:firstLine="640" w:firstLineChars="200"/>
        <w:rPr>
          <w:rFonts w:hint="default" w:ascii="Times New Roman" w:hAnsi="Times New Roman" w:eastAsia="仿宋" w:cs="Times New Roman"/>
          <w:sz w:val="32"/>
          <w:szCs w:val="21"/>
          <w:lang w:val="en-US" w:eastAsia="zh-CN"/>
        </w:rPr>
      </w:pPr>
      <w:r>
        <w:rPr>
          <w:rFonts w:hint="eastAsia" w:ascii="Times New Roman" w:hAnsi="Times New Roman" w:eastAsia="仿宋" w:cs="Times New Roman"/>
          <w:sz w:val="32"/>
          <w:szCs w:val="21"/>
          <w:lang w:val="en-US" w:eastAsia="zh-CN"/>
        </w:rPr>
        <w:t>调查表发放及回收情况</w:t>
      </w:r>
    </w:p>
    <w:p>
      <w:pPr>
        <w:spacing w:line="360" w:lineRule="auto"/>
        <w:ind w:firstLine="640" w:firstLineChars="200"/>
        <w:rPr>
          <w:rFonts w:hint="eastAsia" w:ascii="Times New Roman" w:hAnsi="Times New Roman" w:eastAsia="仿宋" w:cs="Times New Roman"/>
          <w:color w:val="FF0000"/>
          <w:sz w:val="32"/>
          <w:szCs w:val="21"/>
          <w:lang w:val="en-US" w:eastAsia="zh-CN"/>
        </w:rPr>
      </w:pPr>
      <w:r>
        <w:rPr>
          <w:rFonts w:hint="eastAsia" w:ascii="Times New Roman" w:hAnsi="Times New Roman" w:eastAsia="仿宋" w:cs="Times New Roman"/>
          <w:color w:val="FF0000"/>
          <w:sz w:val="32"/>
          <w:szCs w:val="21"/>
          <w:lang w:val="en-US" w:eastAsia="zh-CN"/>
        </w:rPr>
        <w:t>本次调查计划调查48户，入户不遇5户，实际发放意愿调查表43份，回收有效调查表29份，拒签14份。回收的29份有效调查表全部选择自行租房。详见表2。</w:t>
      </w:r>
    </w:p>
    <w:p>
      <w:pPr>
        <w:numPr>
          <w:ilvl w:val="0"/>
          <w:numId w:val="0"/>
        </w:numPr>
        <w:ind w:firstLine="420" w:firstLineChars="0"/>
        <w:jc w:val="center"/>
        <w:rPr>
          <w:rFonts w:hint="default" w:ascii="Times New Roman" w:hAnsi="Times New Roman" w:eastAsia="宋体" w:cs="Times New Roman"/>
          <w:b/>
          <w:bCs w:val="0"/>
          <w:color w:val="FF0000"/>
          <w:sz w:val="28"/>
          <w:szCs w:val="28"/>
          <w:lang w:val="en-US" w:eastAsia="zh-CN"/>
        </w:rPr>
      </w:pPr>
      <w:r>
        <w:rPr>
          <w:rFonts w:hint="default" w:ascii="Times New Roman" w:hAnsi="Times New Roman" w:eastAsia="宋体" w:cs="Times New Roman"/>
          <w:b/>
          <w:bCs w:val="0"/>
          <w:color w:val="FF0000"/>
          <w:sz w:val="28"/>
          <w:szCs w:val="28"/>
          <w:lang w:val="en-US" w:eastAsia="zh-CN"/>
        </w:rPr>
        <w:t>表2 未搬迁移民户临时搬迁意愿调查情况</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14"/>
        <w:gridCol w:w="715"/>
        <w:gridCol w:w="724"/>
        <w:gridCol w:w="955"/>
        <w:gridCol w:w="1082"/>
        <w:gridCol w:w="1082"/>
        <w:gridCol w:w="1087"/>
        <w:gridCol w:w="101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tblHeader/>
        </w:trPr>
        <w:tc>
          <w:tcPr>
            <w:tcW w:w="428"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序号</w:t>
            </w:r>
          </w:p>
        </w:tc>
        <w:tc>
          <w:tcPr>
            <w:tcW w:w="429"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sz w:val="24"/>
                <w:szCs w:val="24"/>
                <w:u w:val="none"/>
              </w:rPr>
            </w:pPr>
            <w:r>
              <w:rPr>
                <w:rFonts w:hint="default" w:ascii="Times New Roman" w:hAnsi="Times New Roman" w:eastAsia="宋体" w:cs="Times New Roman"/>
                <w:b/>
                <w:bCs/>
                <w:i w:val="0"/>
                <w:color w:val="FF0000"/>
                <w:kern w:val="0"/>
                <w:sz w:val="24"/>
                <w:szCs w:val="24"/>
                <w:u w:val="none"/>
                <w:lang w:val="en-US" w:eastAsia="zh-CN" w:bidi="ar"/>
              </w:rPr>
              <w:t>乡镇</w:t>
            </w:r>
          </w:p>
        </w:tc>
        <w:tc>
          <w:tcPr>
            <w:tcW w:w="434"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sz w:val="24"/>
                <w:szCs w:val="24"/>
                <w:u w:val="none"/>
              </w:rPr>
            </w:pPr>
            <w:r>
              <w:rPr>
                <w:rFonts w:hint="default" w:ascii="Times New Roman" w:hAnsi="Times New Roman" w:eastAsia="宋体" w:cs="Times New Roman"/>
                <w:b/>
                <w:bCs/>
                <w:i w:val="0"/>
                <w:color w:val="FF0000"/>
                <w:kern w:val="0"/>
                <w:sz w:val="24"/>
                <w:szCs w:val="24"/>
                <w:u w:val="none"/>
                <w:lang w:val="en-US" w:eastAsia="zh-CN" w:bidi="ar"/>
              </w:rPr>
              <w:t>行政村</w:t>
            </w:r>
          </w:p>
        </w:tc>
        <w:tc>
          <w:tcPr>
            <w:tcW w:w="573"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sz w:val="24"/>
                <w:szCs w:val="24"/>
                <w:u w:val="none"/>
                <w:lang w:eastAsia="zh-CN"/>
              </w:rPr>
            </w:pPr>
            <w:r>
              <w:rPr>
                <w:rFonts w:hint="default" w:ascii="Times New Roman" w:hAnsi="Times New Roman" w:eastAsia="宋体" w:cs="Times New Roman"/>
                <w:b/>
                <w:bCs/>
                <w:i w:val="0"/>
                <w:color w:val="FF0000"/>
                <w:sz w:val="24"/>
                <w:szCs w:val="24"/>
                <w:u w:val="none"/>
                <w:lang w:eastAsia="zh-CN"/>
              </w:rPr>
              <w:t>计划调查户数</w:t>
            </w:r>
          </w:p>
        </w:tc>
        <w:tc>
          <w:tcPr>
            <w:tcW w:w="1950" w:type="pct"/>
            <w:gridSpan w:val="3"/>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回收调查表户数</w:t>
            </w:r>
          </w:p>
        </w:tc>
        <w:tc>
          <w:tcPr>
            <w:tcW w:w="609"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拒签户数</w:t>
            </w:r>
          </w:p>
        </w:tc>
        <w:tc>
          <w:tcPr>
            <w:tcW w:w="575" w:type="pct"/>
            <w:vMerge w:val="restar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入户不遇户数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blHeader/>
        </w:trPr>
        <w:tc>
          <w:tcPr>
            <w:tcW w:w="428" w:type="pct"/>
            <w:vMerge w:val="continue"/>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p>
        </w:tc>
        <w:tc>
          <w:tcPr>
            <w:tcW w:w="429" w:type="pct"/>
            <w:vMerge w:val="continue"/>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p>
        </w:tc>
        <w:tc>
          <w:tcPr>
            <w:tcW w:w="434" w:type="pct"/>
            <w:vMerge w:val="continue"/>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p>
        </w:tc>
        <w:tc>
          <w:tcPr>
            <w:tcW w:w="573" w:type="pct"/>
            <w:vMerge w:val="continue"/>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sz w:val="24"/>
                <w:szCs w:val="24"/>
                <w:u w:val="none"/>
                <w:lang w:eastAsia="zh-CN"/>
              </w:rPr>
            </w:pPr>
          </w:p>
        </w:tc>
        <w:tc>
          <w:tcPr>
            <w:tcW w:w="64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小计</w:t>
            </w:r>
          </w:p>
        </w:tc>
        <w:tc>
          <w:tcPr>
            <w:tcW w:w="64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自行租房</w:t>
            </w:r>
          </w:p>
        </w:tc>
        <w:tc>
          <w:tcPr>
            <w:tcW w:w="652"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r>
              <w:rPr>
                <w:rFonts w:hint="default" w:ascii="Times New Roman" w:hAnsi="Times New Roman" w:eastAsia="宋体" w:cs="Times New Roman"/>
                <w:b/>
                <w:bCs/>
                <w:i w:val="0"/>
                <w:color w:val="FF0000"/>
                <w:kern w:val="0"/>
                <w:sz w:val="24"/>
                <w:szCs w:val="24"/>
                <w:u w:val="none"/>
                <w:lang w:val="en-US" w:eastAsia="zh-CN" w:bidi="ar"/>
              </w:rPr>
              <w:t>统一租房</w:t>
            </w:r>
          </w:p>
        </w:tc>
        <w:tc>
          <w:tcPr>
            <w:tcW w:w="609" w:type="pct"/>
            <w:vMerge w:val="continue"/>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p>
        </w:tc>
        <w:tc>
          <w:tcPr>
            <w:tcW w:w="575" w:type="pct"/>
            <w:vMerge w:val="continue"/>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28"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1</w:t>
            </w:r>
          </w:p>
        </w:tc>
        <w:tc>
          <w:tcPr>
            <w:tcW w:w="42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sz w:val="24"/>
                <w:szCs w:val="24"/>
                <w:u w:val="none"/>
              </w:rPr>
            </w:pPr>
            <w:r>
              <w:rPr>
                <w:rFonts w:hint="default" w:ascii="Times New Roman" w:hAnsi="Times New Roman" w:eastAsia="宋体" w:cs="Times New Roman"/>
                <w:i w:val="0"/>
                <w:color w:val="FF0000"/>
                <w:kern w:val="0"/>
                <w:sz w:val="24"/>
                <w:szCs w:val="24"/>
                <w:u w:val="none"/>
                <w:lang w:val="en-US" w:eastAsia="zh-CN" w:bidi="ar"/>
              </w:rPr>
              <w:t>高陂</w:t>
            </w:r>
          </w:p>
        </w:tc>
        <w:tc>
          <w:tcPr>
            <w:tcW w:w="434"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党溪</w:t>
            </w:r>
          </w:p>
        </w:tc>
        <w:tc>
          <w:tcPr>
            <w:tcW w:w="57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2"/>
                <w:szCs w:val="22"/>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13</w:t>
            </w:r>
          </w:p>
        </w:tc>
        <w:tc>
          <w:tcPr>
            <w:tcW w:w="108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1</w:t>
            </w:r>
            <w:r>
              <w:rPr>
                <w:rFonts w:hint="eastAsia" w:ascii="Times New Roman" w:hAnsi="Times New Roman" w:eastAsia="宋体" w:cs="Times New Roman"/>
                <w:i w:val="0"/>
                <w:color w:val="FF0000"/>
                <w:kern w:val="0"/>
                <w:sz w:val="22"/>
                <w:szCs w:val="22"/>
                <w:u w:val="none"/>
                <w:lang w:val="en-US" w:eastAsia="zh-CN" w:bidi="ar"/>
              </w:rPr>
              <w:t>1</w:t>
            </w:r>
          </w:p>
        </w:tc>
        <w:tc>
          <w:tcPr>
            <w:tcW w:w="64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1</w:t>
            </w:r>
            <w:r>
              <w:rPr>
                <w:rFonts w:hint="eastAsia" w:ascii="Times New Roman" w:hAnsi="Times New Roman" w:eastAsia="宋体" w:cs="Times New Roman"/>
                <w:i w:val="0"/>
                <w:color w:val="FF0000"/>
                <w:kern w:val="0"/>
                <w:sz w:val="22"/>
                <w:szCs w:val="22"/>
                <w:u w:val="none"/>
                <w:lang w:val="en-US" w:eastAsia="zh-CN" w:bidi="ar"/>
              </w:rPr>
              <w:t>1</w:t>
            </w:r>
          </w:p>
        </w:tc>
        <w:tc>
          <w:tcPr>
            <w:tcW w:w="652"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60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575"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eastAsia" w:ascii="Times New Roman" w:hAnsi="Times New Roman" w:eastAsia="宋体" w:cs="Times New Roman"/>
                <w:i w:val="0"/>
                <w:color w:val="FF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28"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2</w:t>
            </w:r>
          </w:p>
        </w:tc>
        <w:tc>
          <w:tcPr>
            <w:tcW w:w="42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sz w:val="24"/>
                <w:szCs w:val="24"/>
                <w:u w:val="none"/>
              </w:rPr>
            </w:pPr>
            <w:r>
              <w:rPr>
                <w:rFonts w:hint="default" w:ascii="Times New Roman" w:hAnsi="Times New Roman" w:eastAsia="宋体" w:cs="Times New Roman"/>
                <w:i w:val="0"/>
                <w:color w:val="FF0000"/>
                <w:kern w:val="0"/>
                <w:sz w:val="24"/>
                <w:szCs w:val="24"/>
                <w:u w:val="none"/>
                <w:lang w:val="en-US" w:eastAsia="zh-CN" w:bidi="ar"/>
              </w:rPr>
              <w:t>大麻</w:t>
            </w:r>
          </w:p>
        </w:tc>
        <w:tc>
          <w:tcPr>
            <w:tcW w:w="434"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sz w:val="24"/>
                <w:szCs w:val="24"/>
                <w:u w:val="none"/>
              </w:rPr>
            </w:pPr>
            <w:r>
              <w:rPr>
                <w:rFonts w:hint="default" w:ascii="Times New Roman" w:hAnsi="Times New Roman" w:eastAsia="宋体" w:cs="Times New Roman"/>
                <w:i w:val="0"/>
                <w:color w:val="FF0000"/>
                <w:kern w:val="0"/>
                <w:sz w:val="24"/>
                <w:szCs w:val="24"/>
                <w:u w:val="none"/>
                <w:lang w:val="en-US" w:eastAsia="zh-CN" w:bidi="ar"/>
              </w:rPr>
              <w:t>社区</w:t>
            </w:r>
          </w:p>
        </w:tc>
        <w:tc>
          <w:tcPr>
            <w:tcW w:w="57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sz w:val="24"/>
                <w:szCs w:val="24"/>
                <w:u w:val="none"/>
              </w:rPr>
            </w:pPr>
            <w:r>
              <w:rPr>
                <w:rFonts w:hint="default" w:ascii="Times New Roman" w:hAnsi="Times New Roman" w:eastAsia="宋体" w:cs="Times New Roman"/>
                <w:i w:val="0"/>
                <w:color w:val="FF0000"/>
                <w:kern w:val="0"/>
                <w:sz w:val="22"/>
                <w:szCs w:val="22"/>
                <w:u w:val="none"/>
                <w:lang w:val="en-US" w:eastAsia="zh-CN" w:bidi="ar"/>
              </w:rPr>
              <w:t>30</w:t>
            </w:r>
          </w:p>
        </w:tc>
        <w:tc>
          <w:tcPr>
            <w:tcW w:w="108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13</w:t>
            </w:r>
          </w:p>
        </w:tc>
        <w:tc>
          <w:tcPr>
            <w:tcW w:w="64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13</w:t>
            </w:r>
          </w:p>
        </w:tc>
        <w:tc>
          <w:tcPr>
            <w:tcW w:w="652"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60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14</w:t>
            </w:r>
          </w:p>
        </w:tc>
        <w:tc>
          <w:tcPr>
            <w:tcW w:w="575"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eastAsia" w:ascii="Times New Roman" w:hAnsi="Times New Roman" w:eastAsia="宋体" w:cs="Times New Roman"/>
                <w:i w:val="0"/>
                <w:color w:val="FF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28"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3</w:t>
            </w:r>
          </w:p>
        </w:tc>
        <w:tc>
          <w:tcPr>
            <w:tcW w:w="42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大麻</w:t>
            </w:r>
          </w:p>
        </w:tc>
        <w:tc>
          <w:tcPr>
            <w:tcW w:w="434"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中兰</w:t>
            </w:r>
          </w:p>
        </w:tc>
        <w:tc>
          <w:tcPr>
            <w:tcW w:w="57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2"/>
                <w:sz w:val="24"/>
                <w:szCs w:val="24"/>
                <w:u w:val="none"/>
                <w:lang w:val="en-US" w:eastAsia="zh-CN" w:bidi="ar-SA"/>
              </w:rPr>
            </w:pPr>
            <w:r>
              <w:rPr>
                <w:rFonts w:hint="default" w:ascii="Times New Roman" w:hAnsi="Times New Roman" w:eastAsia="宋体" w:cs="Times New Roman"/>
                <w:i w:val="0"/>
                <w:color w:val="FF0000"/>
                <w:kern w:val="0"/>
                <w:sz w:val="22"/>
                <w:szCs w:val="22"/>
                <w:u w:val="none"/>
                <w:lang w:val="en-US" w:eastAsia="zh-CN" w:bidi="ar"/>
              </w:rPr>
              <w:t>5</w:t>
            </w:r>
          </w:p>
        </w:tc>
        <w:tc>
          <w:tcPr>
            <w:tcW w:w="108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5</w:t>
            </w:r>
          </w:p>
        </w:tc>
        <w:tc>
          <w:tcPr>
            <w:tcW w:w="64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2"/>
                <w:szCs w:val="22"/>
                <w:u w:val="none"/>
                <w:lang w:val="en-US" w:eastAsia="zh-CN" w:bidi="ar"/>
              </w:rPr>
              <w:t>5</w:t>
            </w:r>
          </w:p>
        </w:tc>
        <w:tc>
          <w:tcPr>
            <w:tcW w:w="652"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60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575"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91" w:type="pct"/>
            <w:gridSpan w:val="3"/>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合计</w:t>
            </w:r>
          </w:p>
        </w:tc>
        <w:tc>
          <w:tcPr>
            <w:tcW w:w="573"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48</w:t>
            </w:r>
          </w:p>
        </w:tc>
        <w:tc>
          <w:tcPr>
            <w:tcW w:w="1082" w:type="dxa"/>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2</w:t>
            </w:r>
            <w:r>
              <w:rPr>
                <w:rFonts w:hint="eastAsia" w:ascii="Times New Roman" w:hAnsi="Times New Roman" w:eastAsia="宋体" w:cs="Times New Roman"/>
                <w:i w:val="0"/>
                <w:color w:val="FF0000"/>
                <w:kern w:val="0"/>
                <w:sz w:val="24"/>
                <w:szCs w:val="24"/>
                <w:u w:val="none"/>
                <w:lang w:val="en-US" w:eastAsia="zh-CN" w:bidi="ar"/>
              </w:rPr>
              <w:t>9</w:t>
            </w:r>
          </w:p>
        </w:tc>
        <w:tc>
          <w:tcPr>
            <w:tcW w:w="64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2</w:t>
            </w:r>
            <w:r>
              <w:rPr>
                <w:rFonts w:hint="eastAsia" w:ascii="Times New Roman" w:hAnsi="Times New Roman" w:eastAsia="宋体" w:cs="Times New Roman"/>
                <w:i w:val="0"/>
                <w:color w:val="FF0000"/>
                <w:kern w:val="0"/>
                <w:sz w:val="24"/>
                <w:szCs w:val="24"/>
                <w:u w:val="none"/>
                <w:lang w:val="en-US" w:eastAsia="zh-CN" w:bidi="ar"/>
              </w:rPr>
              <w:t>9</w:t>
            </w:r>
          </w:p>
        </w:tc>
        <w:tc>
          <w:tcPr>
            <w:tcW w:w="652"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p>
        </w:tc>
        <w:tc>
          <w:tcPr>
            <w:tcW w:w="609"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default" w:ascii="Times New Roman" w:hAnsi="Times New Roman" w:eastAsia="宋体" w:cs="Times New Roman"/>
                <w:i w:val="0"/>
                <w:color w:val="FF0000"/>
                <w:kern w:val="0"/>
                <w:sz w:val="24"/>
                <w:szCs w:val="24"/>
                <w:u w:val="none"/>
                <w:lang w:val="en-US" w:eastAsia="zh-CN" w:bidi="ar"/>
              </w:rPr>
              <w:t>14</w:t>
            </w:r>
          </w:p>
        </w:tc>
        <w:tc>
          <w:tcPr>
            <w:tcW w:w="575" w:type="pct"/>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color w:val="FF0000"/>
                <w:kern w:val="0"/>
                <w:sz w:val="24"/>
                <w:szCs w:val="24"/>
                <w:u w:val="none"/>
                <w:lang w:val="en-US" w:eastAsia="zh-CN" w:bidi="ar"/>
              </w:rPr>
            </w:pPr>
            <w:r>
              <w:rPr>
                <w:rFonts w:hint="eastAsia" w:ascii="Times New Roman" w:hAnsi="Times New Roman" w:eastAsia="宋体" w:cs="Times New Roman"/>
                <w:i w:val="0"/>
                <w:color w:val="FF0000"/>
                <w:kern w:val="0"/>
                <w:sz w:val="24"/>
                <w:szCs w:val="24"/>
                <w:u w:val="none"/>
                <w:lang w:val="en-US" w:eastAsia="zh-CN" w:bidi="ar"/>
              </w:rPr>
              <w:t>5</w:t>
            </w:r>
          </w:p>
        </w:tc>
      </w:tr>
    </w:tbl>
    <w:p>
      <w:pPr>
        <w:numPr>
          <w:ilvl w:val="0"/>
          <w:numId w:val="5"/>
        </w:numPr>
        <w:spacing w:line="360" w:lineRule="auto"/>
        <w:ind w:firstLine="640" w:firstLineChars="200"/>
        <w:rPr>
          <w:rFonts w:hint="default" w:ascii="Times New Roman" w:hAnsi="Times New Roman" w:eastAsia="仿宋" w:cs="Times New Roman"/>
          <w:sz w:val="32"/>
          <w:szCs w:val="21"/>
          <w:lang w:val="en-US" w:eastAsia="zh-CN"/>
        </w:rPr>
      </w:pPr>
      <w:r>
        <w:rPr>
          <w:rFonts w:hint="default" w:ascii="Times New Roman" w:hAnsi="Times New Roman" w:eastAsia="仿宋" w:cs="Times New Roman"/>
          <w:sz w:val="32"/>
          <w:szCs w:val="21"/>
          <w:lang w:val="en-US" w:eastAsia="zh-CN"/>
        </w:rPr>
        <w:t>深度访谈情况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0" w:leftChars="0" w:firstLine="640" w:firstLineChars="200"/>
        <w:textAlignment w:val="auto"/>
        <w:rPr>
          <w:rFonts w:hint="default" w:ascii="Times New Roman" w:hAnsi="Times New Roman" w:eastAsia="仿宋" w:cs="Times New Roman"/>
          <w:bCs/>
          <w:color w:val="FF0000"/>
          <w:sz w:val="32"/>
          <w:szCs w:val="32"/>
          <w:lang w:val="en-US" w:eastAsia="zh-CN"/>
        </w:rPr>
      </w:pPr>
      <w:r>
        <w:rPr>
          <w:rFonts w:hint="default" w:ascii="Times New Roman" w:hAnsi="Times New Roman" w:eastAsia="仿宋" w:cs="Times New Roman"/>
          <w:color w:val="FF0000"/>
          <w:sz w:val="32"/>
          <w:szCs w:val="21"/>
          <w:lang w:val="en-US" w:eastAsia="zh-CN"/>
        </w:rPr>
        <w:t>本次调查主要对拒签意愿调查表的移民户进行了深度访谈。根据访谈了解，</w:t>
      </w:r>
      <w:r>
        <w:rPr>
          <w:rFonts w:hint="default" w:ascii="Times New Roman" w:hAnsi="Times New Roman" w:eastAsia="仿宋" w:cs="Times New Roman"/>
          <w:bCs/>
          <w:color w:val="FF0000"/>
          <w:sz w:val="32"/>
          <w:szCs w:val="32"/>
          <w:lang w:val="en-US" w:eastAsia="zh-CN"/>
        </w:rPr>
        <w:t>移民户拒签调查表的原因主要包括：1）由于2015年印发</w:t>
      </w:r>
      <w:r>
        <w:rPr>
          <w:rFonts w:hint="default" w:ascii="Times New Roman" w:hAnsi="Times New Roman" w:eastAsia="仿宋" w:cs="Times New Roman"/>
          <w:color w:val="FF0000"/>
          <w:sz w:val="32"/>
          <w:szCs w:val="21"/>
          <w:lang w:val="en-US" w:eastAsia="zh-CN"/>
        </w:rPr>
        <w:t>《大埔县人民政府关于印发广东省梅州市大埔枢纽工程辅助配套项目移民临时安置暂行实施办法的通知》（埔府〔2015〕87号）规定临时搬迁安置时限为2年，</w:t>
      </w:r>
      <w:r>
        <w:rPr>
          <w:rFonts w:hint="default" w:ascii="Times New Roman" w:hAnsi="Times New Roman" w:eastAsia="仿宋" w:cs="Times New Roman"/>
          <w:bCs/>
          <w:color w:val="FF0000"/>
          <w:sz w:val="32"/>
          <w:szCs w:val="32"/>
          <w:lang w:val="en-US" w:eastAsia="zh-CN"/>
        </w:rPr>
        <w:t>目前新的临时搬迁政策暂未正式出台，导致移民对临时搬迁补助时限、标准心存疑虑；2）家私较多，临时搬迁难以处置；3）对于依托自家商铺经营为生的移民户，临时搬迁补助难以完全弥补因临时搬迁带来的生产经营损失。对此，建议各有关镇村在后续工作中，做好宣传引导工作，帮助移民解决实际困难，化解矛盾，推动搬迁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0" w:leftChars="0" w:firstLine="640" w:firstLineChars="200"/>
        <w:textAlignment w:val="auto"/>
        <w:rPr>
          <w:rFonts w:hint="default" w:ascii="Times New Roman" w:hAnsi="Times New Roman" w:eastAsia="仿宋" w:cs="Times New Roman"/>
          <w:bCs/>
          <w:color w:val="FF0000"/>
          <w:sz w:val="32"/>
          <w:szCs w:val="32"/>
          <w:lang w:val="en-US" w:eastAsia="zh-CN"/>
        </w:rPr>
      </w:pPr>
      <w:r>
        <w:rPr>
          <w:rFonts w:hint="default" w:ascii="Times New Roman" w:hAnsi="Times New Roman" w:eastAsia="仿宋" w:cs="Times New Roman"/>
          <w:bCs/>
          <w:color w:val="FF0000"/>
          <w:sz w:val="32"/>
          <w:szCs w:val="32"/>
          <w:lang w:val="en-US" w:eastAsia="zh-CN"/>
        </w:rPr>
        <w:t>同时，在意愿调查过程中，其他移民户提出了两点诉求：1）尽快交付安置点；2）明确临时搬迁时间，提前通知以便安排。对此，建议各有关镇村做好临时搬迁前通知工作，加快安置点建设，尽早交付。</w:t>
      </w:r>
    </w:p>
    <w:p>
      <w:pPr>
        <w:keepNext/>
        <w:keepLines/>
        <w:widowControl w:val="0"/>
        <w:numPr>
          <w:ilvl w:val="0"/>
          <w:numId w:val="1"/>
        </w:numPr>
        <w:adjustRightInd w:val="0"/>
        <w:snapToGrid w:val="0"/>
        <w:spacing w:before="120" w:beforeLines="50" w:beforeAutospacing="0" w:after="120" w:afterLines="50" w:afterAutospacing="0" w:line="360" w:lineRule="auto"/>
        <w:ind w:firstLine="640" w:firstLineChars="200"/>
        <w:jc w:val="left"/>
        <w:outlineLvl w:val="0"/>
        <w:rPr>
          <w:rFonts w:hint="eastAsia" w:ascii="Times New Roman" w:hAnsi="Times New Roman" w:eastAsia="黑体" w:cs="Times New Roman"/>
          <w:bCs/>
          <w:kern w:val="44"/>
          <w:sz w:val="32"/>
          <w:szCs w:val="44"/>
          <w:lang w:val="en-US" w:eastAsia="zh-CN" w:bidi="ar-SA"/>
        </w:rPr>
      </w:pPr>
      <w:bookmarkStart w:id="14" w:name="_Toc18677"/>
      <w:r>
        <w:rPr>
          <w:rFonts w:hint="eastAsia" w:ascii="Times New Roman" w:hAnsi="Times New Roman" w:eastAsia="黑体" w:cs="Times New Roman"/>
          <w:bCs/>
          <w:kern w:val="44"/>
          <w:sz w:val="32"/>
          <w:szCs w:val="44"/>
          <w:lang w:val="en-US" w:eastAsia="zh-CN" w:bidi="ar-SA"/>
        </w:rPr>
        <w:t>有关说明</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0" w:leftChars="0" w:firstLine="640" w:firstLineChars="200"/>
        <w:textAlignment w:val="auto"/>
        <w:rPr>
          <w:rFonts w:hint="default" w:ascii="Times New Roman" w:hAnsi="Times New Roman" w:eastAsia="仿宋" w:cs="Times New Roman"/>
          <w:bCs/>
          <w:color w:val="FF0000"/>
          <w:sz w:val="32"/>
          <w:szCs w:val="32"/>
          <w:lang w:val="en-US" w:eastAsia="zh-CN"/>
        </w:rPr>
      </w:pPr>
      <w:r>
        <w:rPr>
          <w:rFonts w:hint="eastAsia" w:ascii="Times New Roman" w:hAnsi="Times New Roman" w:eastAsia="仿宋" w:cs="Times New Roman"/>
          <w:bCs/>
          <w:color w:val="FF0000"/>
          <w:sz w:val="32"/>
          <w:szCs w:val="32"/>
          <w:lang w:val="en-US" w:eastAsia="zh-CN"/>
        </w:rPr>
        <w:t>根据意愿调查情况，移民全部选择自行租房，因此本次调查未对临时搬迁安置点做选点调查。</w:t>
      </w:r>
    </w:p>
    <w:p>
      <w:pPr>
        <w:numPr>
          <w:ilvl w:val="0"/>
          <w:numId w:val="0"/>
        </w:numPr>
        <w:ind w:firstLine="420" w:firstLineChars="0"/>
        <w:rPr>
          <w:rFonts w:hint="eastAsia" w:ascii="宋体" w:hAnsi="宋体" w:eastAsia="宋体" w:cs="宋体"/>
          <w:bCs/>
          <w:sz w:val="28"/>
          <w:szCs w:val="28"/>
          <w:lang w:val="en-US" w:eastAsia="zh-CN"/>
        </w:rPr>
      </w:pPr>
    </w:p>
    <w:p>
      <w:pPr>
        <w:rPr>
          <w:rFonts w:hint="default" w:ascii="Times New Roman" w:hAnsi="Times New Roman" w:eastAsia="仿宋" w:cs="仿宋"/>
          <w:color w:val="auto"/>
          <w:sz w:val="32"/>
          <w:szCs w:val="32"/>
          <w:lang w:val="en-US" w:eastAsia="zh-CN"/>
        </w:rPr>
      </w:pPr>
      <w:bookmarkStart w:id="15" w:name="_GoBack"/>
      <w:bookmarkEnd w:id="15"/>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43028"/>
    <w:multiLevelType w:val="singleLevel"/>
    <w:tmpl w:val="D3243028"/>
    <w:lvl w:ilvl="0" w:tentative="0">
      <w:start w:val="1"/>
      <w:numFmt w:val="decimal"/>
      <w:suff w:val="nothing"/>
      <w:lvlText w:val="（%1）"/>
      <w:lvlJc w:val="left"/>
    </w:lvl>
  </w:abstractNum>
  <w:abstractNum w:abstractNumId="1">
    <w:nsid w:val="D50083EE"/>
    <w:multiLevelType w:val="singleLevel"/>
    <w:tmpl w:val="D50083EE"/>
    <w:lvl w:ilvl="0" w:tentative="0">
      <w:start w:val="1"/>
      <w:numFmt w:val="decimal"/>
      <w:suff w:val="nothing"/>
      <w:lvlText w:val="（%1）"/>
      <w:lvlJc w:val="left"/>
    </w:lvl>
  </w:abstractNum>
  <w:abstractNum w:abstractNumId="2">
    <w:nsid w:val="1982980F"/>
    <w:multiLevelType w:val="singleLevel"/>
    <w:tmpl w:val="1982980F"/>
    <w:lvl w:ilvl="0" w:tentative="0">
      <w:start w:val="1"/>
      <w:numFmt w:val="decimal"/>
      <w:suff w:val="nothing"/>
      <w:lvlText w:val="（%1）"/>
      <w:lvlJc w:val="left"/>
    </w:lvl>
  </w:abstractNum>
  <w:abstractNum w:abstractNumId="3">
    <w:nsid w:val="36FD428E"/>
    <w:multiLevelType w:val="singleLevel"/>
    <w:tmpl w:val="36FD428E"/>
    <w:lvl w:ilvl="0" w:tentative="0">
      <w:start w:val="1"/>
      <w:numFmt w:val="chineseCounting"/>
      <w:suff w:val="nothing"/>
      <w:lvlText w:val="%1、"/>
      <w:lvlJc w:val="left"/>
      <w:rPr>
        <w:rFonts w:hint="eastAsia"/>
      </w:rPr>
    </w:lvl>
  </w:abstractNum>
  <w:abstractNum w:abstractNumId="4">
    <w:nsid w:val="75F611C4"/>
    <w:multiLevelType w:val="singleLevel"/>
    <w:tmpl w:val="75F611C4"/>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65BB"/>
    <w:rsid w:val="0C8D039E"/>
    <w:rsid w:val="10E723B5"/>
    <w:rsid w:val="1367125D"/>
    <w:rsid w:val="16BF50A5"/>
    <w:rsid w:val="18753C5C"/>
    <w:rsid w:val="193906B9"/>
    <w:rsid w:val="1A25586E"/>
    <w:rsid w:val="1A613AA0"/>
    <w:rsid w:val="21A57F7F"/>
    <w:rsid w:val="277236F5"/>
    <w:rsid w:val="2B17262D"/>
    <w:rsid w:val="2B5C324B"/>
    <w:rsid w:val="2B9D5EAE"/>
    <w:rsid w:val="2C307495"/>
    <w:rsid w:val="2CBD7F64"/>
    <w:rsid w:val="3041680E"/>
    <w:rsid w:val="35DA049C"/>
    <w:rsid w:val="3769007F"/>
    <w:rsid w:val="38C32E01"/>
    <w:rsid w:val="38FA27FF"/>
    <w:rsid w:val="3BEE1C85"/>
    <w:rsid w:val="3C2D7153"/>
    <w:rsid w:val="431D4F19"/>
    <w:rsid w:val="43467F4B"/>
    <w:rsid w:val="48391ED6"/>
    <w:rsid w:val="4A29463B"/>
    <w:rsid w:val="4EB96471"/>
    <w:rsid w:val="4F673AE7"/>
    <w:rsid w:val="52E04497"/>
    <w:rsid w:val="553B37EA"/>
    <w:rsid w:val="586E3855"/>
    <w:rsid w:val="5D9F20F4"/>
    <w:rsid w:val="5EE40BFC"/>
    <w:rsid w:val="633E593F"/>
    <w:rsid w:val="63C35F43"/>
    <w:rsid w:val="647E39B0"/>
    <w:rsid w:val="65BB6C37"/>
    <w:rsid w:val="673D7176"/>
    <w:rsid w:val="68356A08"/>
    <w:rsid w:val="6DC93E87"/>
    <w:rsid w:val="6E6C57E5"/>
    <w:rsid w:val="6F3C5223"/>
    <w:rsid w:val="6F6D751B"/>
    <w:rsid w:val="720B001E"/>
    <w:rsid w:val="76230F7C"/>
    <w:rsid w:val="76732557"/>
    <w:rsid w:val="772E61AC"/>
    <w:rsid w:val="78FB51DC"/>
    <w:rsid w:val="792C5317"/>
    <w:rsid w:val="79C84B39"/>
    <w:rsid w:val="7BC2194E"/>
    <w:rsid w:val="7D661B83"/>
    <w:rsid w:val="7E6902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0" w:beforeLines="30" w:after="30" w:afterLines="30"/>
      <w:ind w:firstLine="1044" w:firstLineChars="200"/>
      <w:jc w:val="left"/>
      <w:outlineLvl w:val="0"/>
    </w:pPr>
    <w:rPr>
      <w:rFonts w:ascii="宋体" w:hAnsi="宋体" w:cs="宋体"/>
      <w:b/>
      <w:bCs/>
      <w:kern w:val="44"/>
      <w:sz w:val="32"/>
      <w:szCs w:val="30"/>
    </w:rPr>
  </w:style>
  <w:style w:type="paragraph" w:styleId="3">
    <w:name w:val="heading 2"/>
    <w:basedOn w:val="1"/>
    <w:next w:val="1"/>
    <w:qFormat/>
    <w:uiPriority w:val="0"/>
    <w:pPr>
      <w:keepNext/>
      <w:keepLines/>
      <w:spacing w:before="20" w:beforeLines="20" w:after="20" w:afterLines="20"/>
      <w:ind w:firstLine="640"/>
      <w:outlineLvl w:val="1"/>
    </w:pPr>
    <w:rPr>
      <w:rFonts w:ascii="Arial" w:hAnsi="Arial"/>
      <w:b/>
      <w:sz w:val="30"/>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 Spacing"/>
    <w:qFormat/>
    <w:uiPriority w:val="1"/>
    <w:rPr>
      <w:rFonts w:ascii="Times New Roman" w:hAnsi="Times New Roman" w:eastAsia="宋体" w:cs="Times New Roman"/>
      <w:sz w:val="22"/>
      <w:szCs w:val="22"/>
      <w:lang w:val="en-US" w:eastAsia="zh-CN" w:bidi="ar-SA"/>
    </w:rPr>
  </w:style>
  <w:style w:type="paragraph" w:customStyle="1" w:styleId="9">
    <w:name w:val="_Style 2"/>
    <w:basedOn w:val="2"/>
    <w:next w:val="1"/>
    <w:qFormat/>
    <w:uiPriority w:val="39"/>
    <w:pPr>
      <w:widowControl/>
      <w:adjustRightInd/>
      <w:snapToGrid/>
      <w:spacing w:before="480" w:beforeAutospacing="0" w:after="0" w:afterAutospacing="0" w:line="276" w:lineRule="auto"/>
      <w:outlineLvl w:val="9"/>
    </w:pPr>
    <w:rPr>
      <w:rFonts w:ascii="Cambria" w:hAnsi="Cambria" w:eastAsia="宋体" w:cs="Times New Roman"/>
      <w:color w:val="365F91"/>
      <w:kern w:val="0"/>
      <w:sz w:val="28"/>
      <w:szCs w:val="28"/>
    </w:rPr>
  </w:style>
  <w:style w:type="paragraph" w:customStyle="1" w:styleId="10">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2020-10-20T09:14:14Z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