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0"/>
        </w:rPr>
      </w:pPr>
      <w:r>
        <w:rPr>
          <w:rFonts w:hint="eastAsia" w:ascii="华文中宋" w:hAnsi="华文中宋" w:eastAsia="华文中宋"/>
          <w:b/>
          <w:sz w:val="40"/>
        </w:rPr>
        <w:t>（广东通驿高速公路服务区有限公司粤东分公司）招聘信息表</w:t>
      </w:r>
    </w:p>
    <w:tbl>
      <w:tblPr>
        <w:tblStyle w:val="5"/>
        <w:tblW w:w="140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7"/>
        <w:gridCol w:w="1362"/>
        <w:gridCol w:w="3321"/>
        <w:gridCol w:w="1098"/>
        <w:gridCol w:w="1149"/>
        <w:gridCol w:w="1065"/>
        <w:gridCol w:w="840"/>
        <w:gridCol w:w="1935"/>
        <w:gridCol w:w="1020"/>
        <w:gridCol w:w="17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3" w:hRule="atLeast"/>
        </w:trPr>
        <w:tc>
          <w:tcPr>
            <w:tcW w:w="457"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362" w:type="dxa"/>
            <w:vAlign w:val="center"/>
          </w:tcPr>
          <w:p>
            <w:pPr>
              <w:jc w:val="center"/>
              <w:rPr>
                <w:rFonts w:ascii="仿宋_GB2312" w:eastAsia="仿宋_GB2312"/>
                <w:b/>
                <w:sz w:val="24"/>
                <w:szCs w:val="24"/>
              </w:rPr>
            </w:pPr>
            <w:r>
              <w:rPr>
                <w:rFonts w:hint="eastAsia" w:ascii="仿宋_GB2312" w:eastAsia="仿宋_GB2312"/>
                <w:b/>
                <w:sz w:val="24"/>
                <w:szCs w:val="24"/>
              </w:rPr>
              <w:t>企业名称</w:t>
            </w:r>
          </w:p>
        </w:tc>
        <w:tc>
          <w:tcPr>
            <w:tcW w:w="3321" w:type="dxa"/>
            <w:vAlign w:val="center"/>
          </w:tcPr>
          <w:p>
            <w:pPr>
              <w:jc w:val="center"/>
              <w:rPr>
                <w:rFonts w:ascii="仿宋_GB2312" w:eastAsia="仿宋_GB2312"/>
                <w:b/>
                <w:sz w:val="24"/>
                <w:szCs w:val="24"/>
              </w:rPr>
            </w:pPr>
            <w:r>
              <w:rPr>
                <w:rFonts w:hint="eastAsia" w:ascii="仿宋_GB2312" w:eastAsia="仿宋_GB2312"/>
                <w:b/>
                <w:sz w:val="24"/>
                <w:szCs w:val="24"/>
              </w:rPr>
              <w:t>公司简章</w:t>
            </w:r>
          </w:p>
        </w:tc>
        <w:tc>
          <w:tcPr>
            <w:tcW w:w="1098" w:type="dxa"/>
            <w:vAlign w:val="center"/>
          </w:tcPr>
          <w:p>
            <w:pPr>
              <w:jc w:val="center"/>
              <w:rPr>
                <w:rFonts w:ascii="仿宋_GB2312" w:eastAsia="仿宋_GB2312"/>
                <w:b/>
                <w:sz w:val="24"/>
                <w:szCs w:val="24"/>
              </w:rPr>
            </w:pPr>
            <w:r>
              <w:rPr>
                <w:rFonts w:hint="eastAsia" w:ascii="仿宋_GB2312" w:eastAsia="仿宋_GB2312"/>
                <w:b/>
                <w:sz w:val="24"/>
                <w:szCs w:val="24"/>
              </w:rPr>
              <w:t>拟招聘岗位</w:t>
            </w:r>
          </w:p>
        </w:tc>
        <w:tc>
          <w:tcPr>
            <w:tcW w:w="1149" w:type="dxa"/>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1065" w:type="dxa"/>
            <w:vAlign w:val="center"/>
          </w:tcPr>
          <w:p>
            <w:pPr>
              <w:jc w:val="center"/>
              <w:rPr>
                <w:rFonts w:ascii="仿宋_GB2312" w:eastAsia="仿宋_GB2312"/>
                <w:b/>
                <w:sz w:val="24"/>
                <w:szCs w:val="24"/>
              </w:rPr>
            </w:pPr>
            <w:r>
              <w:rPr>
                <w:rFonts w:hint="eastAsia" w:ascii="仿宋_GB2312" w:eastAsia="仿宋_GB2312"/>
                <w:b/>
                <w:sz w:val="24"/>
                <w:szCs w:val="24"/>
              </w:rPr>
              <w:t>人数</w:t>
            </w:r>
          </w:p>
        </w:tc>
        <w:tc>
          <w:tcPr>
            <w:tcW w:w="840" w:type="dxa"/>
            <w:vAlign w:val="center"/>
          </w:tcPr>
          <w:p>
            <w:pPr>
              <w:jc w:val="center"/>
              <w:rPr>
                <w:rFonts w:ascii="仿宋_GB2312" w:eastAsia="仿宋_GB2312"/>
                <w:b/>
                <w:sz w:val="24"/>
                <w:szCs w:val="24"/>
              </w:rPr>
            </w:pPr>
            <w:r>
              <w:rPr>
                <w:rFonts w:hint="eastAsia" w:ascii="仿宋_GB2312" w:eastAsia="仿宋_GB2312"/>
                <w:b/>
                <w:sz w:val="24"/>
                <w:szCs w:val="24"/>
              </w:rPr>
              <w:t>学历</w:t>
            </w:r>
          </w:p>
        </w:tc>
        <w:tc>
          <w:tcPr>
            <w:tcW w:w="1935" w:type="dxa"/>
            <w:vAlign w:val="center"/>
          </w:tcPr>
          <w:p>
            <w:pPr>
              <w:jc w:val="center"/>
              <w:rPr>
                <w:rFonts w:ascii="仿宋_GB2312" w:eastAsia="仿宋_GB2312"/>
                <w:b/>
                <w:sz w:val="24"/>
                <w:szCs w:val="24"/>
              </w:rPr>
            </w:pPr>
            <w:r>
              <w:rPr>
                <w:rFonts w:hint="eastAsia" w:ascii="仿宋_GB2312" w:eastAsia="仿宋_GB2312"/>
                <w:b/>
                <w:sz w:val="24"/>
                <w:szCs w:val="24"/>
              </w:rPr>
              <w:t>工资待遇</w:t>
            </w:r>
          </w:p>
        </w:tc>
        <w:tc>
          <w:tcPr>
            <w:tcW w:w="1020" w:type="dxa"/>
            <w:vAlign w:val="center"/>
          </w:tcPr>
          <w:p>
            <w:pPr>
              <w:jc w:val="center"/>
              <w:rPr>
                <w:rFonts w:ascii="仿宋_GB2312" w:eastAsia="仿宋_GB2312"/>
                <w:b/>
                <w:sz w:val="24"/>
                <w:szCs w:val="24"/>
              </w:rPr>
            </w:pPr>
            <w:r>
              <w:rPr>
                <w:rFonts w:hint="eastAsia" w:ascii="仿宋_GB2312" w:eastAsia="仿宋_GB2312"/>
                <w:b/>
                <w:sz w:val="24"/>
                <w:szCs w:val="24"/>
              </w:rPr>
              <w:t>联系人</w:t>
            </w:r>
          </w:p>
        </w:tc>
        <w:tc>
          <w:tcPr>
            <w:tcW w:w="1789" w:type="dxa"/>
            <w:vAlign w:val="center"/>
          </w:tcPr>
          <w:p>
            <w:pPr>
              <w:jc w:val="center"/>
              <w:rPr>
                <w:rFonts w:ascii="仿宋_GB2312" w:eastAsia="仿宋_GB2312"/>
                <w:b/>
                <w:sz w:val="24"/>
                <w:szCs w:val="24"/>
              </w:rPr>
            </w:pPr>
            <w:r>
              <w:rPr>
                <w:rFonts w:hint="eastAsia" w:ascii="仿宋_GB2312" w:eastAsia="仿宋_GB2312"/>
                <w:b/>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38" w:hRule="atLeast"/>
        </w:trPr>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362" w:type="dxa"/>
            <w:vMerge w:val="restart"/>
            <w:vAlign w:val="center"/>
          </w:tcPr>
          <w:p>
            <w:pPr>
              <w:jc w:val="center"/>
              <w:rPr>
                <w:rFonts w:ascii="仿宋_GB2312" w:eastAsia="仿宋_GB2312"/>
                <w:sz w:val="24"/>
                <w:szCs w:val="24"/>
              </w:rPr>
            </w:pPr>
            <w:r>
              <w:rPr>
                <w:rFonts w:hint="eastAsia" w:ascii="仿宋_GB2312" w:eastAsia="仿宋_GB2312"/>
                <w:sz w:val="24"/>
                <w:szCs w:val="24"/>
              </w:rPr>
              <w:t>广东通驿高速公路服务区有限公司粤东分公司</w:t>
            </w:r>
          </w:p>
        </w:tc>
        <w:tc>
          <w:tcPr>
            <w:tcW w:w="3321" w:type="dxa"/>
            <w:vMerge w:val="restart"/>
            <w:vAlign w:val="center"/>
          </w:tcPr>
          <w:p>
            <w:pPr>
              <w:ind w:firstLine="440" w:firstLineChars="200"/>
              <w:rPr>
                <w:rFonts w:hint="eastAsia" w:ascii="仿宋_GB2312" w:hAnsi="宋体" w:eastAsia="仿宋_GB2312"/>
                <w:color w:val="auto"/>
                <w:sz w:val="22"/>
                <w:szCs w:val="22"/>
              </w:rPr>
            </w:pPr>
            <w:r>
              <w:rPr>
                <w:rFonts w:hint="eastAsia" w:ascii="微软雅黑" w:hAnsi="微软雅黑" w:eastAsia="微软雅黑" w:cs="微软雅黑"/>
                <w:b/>
                <w:bCs/>
                <w:color w:val="auto"/>
                <w:sz w:val="22"/>
                <w:szCs w:val="22"/>
                <w:lang w:val="en-US" w:eastAsia="zh-CN"/>
              </w:rPr>
              <w:t>广东通驿高速公路服务区有限公司</w:t>
            </w:r>
            <w:r>
              <w:rPr>
                <w:rFonts w:hint="eastAsia" w:ascii="仿宋_GB2312" w:hAnsi="宋体" w:eastAsia="仿宋_GB2312"/>
                <w:b/>
                <w:bCs/>
                <w:color w:val="auto"/>
                <w:sz w:val="22"/>
                <w:szCs w:val="22"/>
              </w:rPr>
              <w:t>成立于</w:t>
            </w:r>
            <w:r>
              <w:rPr>
                <w:rFonts w:hint="eastAsia" w:ascii="微软雅黑" w:hAnsi="微软雅黑" w:eastAsia="微软雅黑" w:cs="微软雅黑"/>
                <w:b/>
                <w:bCs/>
                <w:color w:val="auto"/>
                <w:sz w:val="22"/>
                <w:szCs w:val="22"/>
                <w:lang w:val="en-US" w:eastAsia="zh-CN"/>
              </w:rPr>
              <w:t>2000年9月7日</w:t>
            </w:r>
            <w:r>
              <w:rPr>
                <w:rFonts w:hint="eastAsia" w:ascii="仿宋_GB2312" w:hAnsi="宋体" w:eastAsia="仿宋_GB2312"/>
                <w:b/>
                <w:bCs/>
                <w:color w:val="auto"/>
                <w:sz w:val="22"/>
                <w:szCs w:val="22"/>
              </w:rPr>
              <w:t>，</w:t>
            </w:r>
            <w:r>
              <w:rPr>
                <w:rFonts w:hint="eastAsia" w:ascii="仿宋_GB2312" w:hAnsi="宋体" w:eastAsia="仿宋_GB2312"/>
                <w:color w:val="auto"/>
                <w:sz w:val="22"/>
                <w:szCs w:val="22"/>
              </w:rPr>
              <w:t>是广东省交通集团授权在全省范围对集团独资或控股的高速公路服务区，实施规划、建设、经营管理一体化的</w:t>
            </w:r>
            <w:r>
              <w:rPr>
                <w:rFonts w:hint="eastAsia" w:ascii="仿宋_GB2312" w:hAnsi="宋体" w:eastAsia="仿宋_GB2312"/>
                <w:color w:val="auto"/>
                <w:sz w:val="22"/>
                <w:szCs w:val="22"/>
                <w:lang w:eastAsia="zh-CN"/>
              </w:rPr>
              <w:t>大型</w:t>
            </w:r>
            <w:r>
              <w:rPr>
                <w:rFonts w:hint="eastAsia" w:ascii="仿宋_GB2312" w:hAnsi="宋体" w:eastAsia="仿宋_GB2312"/>
                <w:color w:val="auto"/>
                <w:sz w:val="22"/>
                <w:szCs w:val="22"/>
              </w:rPr>
              <w:t>连锁经营国有企业。</w:t>
            </w:r>
            <w:r>
              <w:rPr>
                <w:rFonts w:hint="eastAsia" w:ascii="仿宋_GB2312" w:hAnsi="宋体" w:eastAsia="仿宋_GB2312"/>
                <w:b w:val="0"/>
                <w:bCs w:val="0"/>
                <w:color w:val="auto"/>
                <w:sz w:val="22"/>
                <w:szCs w:val="22"/>
              </w:rPr>
              <w:t>2020年1月</w:t>
            </w:r>
            <w:r>
              <w:rPr>
                <w:rFonts w:hint="eastAsia" w:ascii="仿宋_GB2312" w:hAnsi="宋体" w:eastAsia="仿宋_GB2312"/>
                <w:color w:val="auto"/>
                <w:sz w:val="22"/>
                <w:szCs w:val="22"/>
              </w:rPr>
              <w:t>，</w:t>
            </w:r>
            <w:r>
              <w:rPr>
                <w:rFonts w:hint="eastAsia" w:ascii="仿宋_GB2312" w:hAnsi="宋体" w:eastAsia="仿宋_GB2312"/>
                <w:color w:val="auto"/>
                <w:sz w:val="22"/>
                <w:szCs w:val="22"/>
                <w:lang w:eastAsia="zh-CN"/>
              </w:rPr>
              <w:t>通驿</w:t>
            </w:r>
            <w:r>
              <w:rPr>
                <w:rFonts w:hint="eastAsia" w:ascii="仿宋_GB2312" w:hAnsi="宋体" w:eastAsia="仿宋_GB2312"/>
                <w:color w:val="auto"/>
                <w:sz w:val="22"/>
                <w:szCs w:val="22"/>
              </w:rPr>
              <w:t>公司经营管理的服务区数量已经达到330个（含停车区），已开业服务区314个，服务区网络一体化发展平台的优势和价值进一步放大。公司能源业务蓬勃发展，加油站规模达到185座，其中，自主经营油站38座，并完成65个服务区充电桩的建设和运营，充电桩数量达226个；京港澳高速公路横石水服务区油气电“三合一”站建成投营，填补了广东高速公路服务区清洁能源油气站空白。零售业务全渠道铺开，乐驿门店便利店达到</w:t>
            </w:r>
            <w:r>
              <w:rPr>
                <w:rFonts w:hint="eastAsia" w:ascii="仿宋_GB2312" w:hAnsi="宋体" w:eastAsia="仿宋_GB2312"/>
                <w:b/>
                <w:bCs/>
                <w:color w:val="auto"/>
                <w:sz w:val="22"/>
                <w:szCs w:val="22"/>
              </w:rPr>
              <w:t>576</w:t>
            </w:r>
            <w:r>
              <w:rPr>
                <w:rFonts w:hint="eastAsia" w:ascii="仿宋_GB2312" w:hAnsi="宋体" w:eastAsia="仿宋_GB2312"/>
                <w:color w:val="auto"/>
                <w:sz w:val="22"/>
                <w:szCs w:val="22"/>
              </w:rPr>
              <w:t>间。根据《广东省高速公路服务区规划》预计到2030年，广东省内服务区资源将达</w:t>
            </w:r>
            <w:r>
              <w:rPr>
                <w:rFonts w:hint="eastAsia" w:ascii="仿宋_GB2312" w:hAnsi="宋体" w:eastAsia="仿宋_GB2312"/>
                <w:b/>
                <w:bCs/>
                <w:color w:val="auto"/>
                <w:sz w:val="22"/>
                <w:szCs w:val="22"/>
              </w:rPr>
              <w:t>560</w:t>
            </w:r>
            <w:r>
              <w:rPr>
                <w:rFonts w:hint="eastAsia" w:ascii="仿宋_GB2312" w:hAnsi="宋体" w:eastAsia="仿宋_GB2312"/>
                <w:color w:val="auto"/>
                <w:sz w:val="22"/>
                <w:szCs w:val="22"/>
              </w:rPr>
              <w:t>个，自建自营加油站50座，收回发包期到期加油站41座，通驿公司即将迎来新的发展高峰期。目前，粤东分公司诚邀有贤之士加盟，</w:t>
            </w:r>
            <w:r>
              <w:rPr>
                <w:rFonts w:hint="eastAsia" w:ascii="仿宋_GB2312" w:hAnsi="仿宋_GB2312" w:eastAsia="仿宋_GB2312" w:cs="仿宋_GB2312"/>
                <w:b/>
                <w:bCs/>
                <w:color w:val="auto"/>
                <w:sz w:val="22"/>
                <w:szCs w:val="22"/>
                <w:lang w:val="zh-CN"/>
              </w:rPr>
              <w:t>拟招聘</w:t>
            </w:r>
            <w:r>
              <w:rPr>
                <w:rFonts w:hint="eastAsia" w:ascii="仿宋" w:hAnsi="仿宋" w:eastAsia="仿宋" w:cs="仿宋"/>
                <w:b w:val="0"/>
                <w:bCs w:val="0"/>
                <w:color w:val="auto"/>
                <w:sz w:val="22"/>
                <w:szCs w:val="22"/>
              </w:rPr>
              <w:t>管理培训生、</w:t>
            </w:r>
            <w:r>
              <w:rPr>
                <w:rFonts w:hint="eastAsia" w:ascii="仿宋" w:hAnsi="仿宋" w:eastAsia="仿宋" w:cs="仿宋"/>
                <w:b w:val="0"/>
                <w:bCs w:val="0"/>
                <w:color w:val="auto"/>
                <w:sz w:val="22"/>
                <w:szCs w:val="22"/>
                <w:lang w:eastAsia="zh-CN"/>
              </w:rPr>
              <w:t>出纳、系统员、水电工、驾驶员、</w:t>
            </w:r>
            <w:r>
              <w:rPr>
                <w:rFonts w:hint="eastAsia" w:ascii="仿宋" w:hAnsi="仿宋" w:eastAsia="仿宋" w:cs="仿宋"/>
                <w:b w:val="0"/>
                <w:bCs w:val="0"/>
                <w:color w:val="auto"/>
                <w:sz w:val="22"/>
                <w:szCs w:val="22"/>
              </w:rPr>
              <w:t>营业员、交通协管员、加油员</w:t>
            </w:r>
            <w:r>
              <w:rPr>
                <w:rFonts w:hint="eastAsia" w:ascii="仿宋_GB2312" w:hAnsi="宋体" w:eastAsia="仿宋_GB2312" w:cs="仿宋_GB2312"/>
                <w:b/>
                <w:bCs/>
                <w:color w:val="auto"/>
                <w:sz w:val="22"/>
                <w:szCs w:val="22"/>
              </w:rPr>
              <w:t>，</w:t>
            </w:r>
            <w:r>
              <w:rPr>
                <w:rFonts w:hint="eastAsia" w:ascii="仿宋_GB2312" w:hAnsi="宋体" w:eastAsia="仿宋_GB2312"/>
                <w:color w:val="auto"/>
                <w:sz w:val="22"/>
                <w:szCs w:val="22"/>
              </w:rPr>
              <w:t>与我公司共谋美好未来。</w:t>
            </w:r>
          </w:p>
          <w:p>
            <w:pPr>
              <w:rPr>
                <w:rFonts w:ascii="仿宋_GB2312" w:eastAsia="仿宋_GB2312"/>
                <w:sz w:val="24"/>
                <w:szCs w:val="24"/>
              </w:rPr>
            </w:pPr>
          </w:p>
        </w:tc>
        <w:tc>
          <w:tcPr>
            <w:tcW w:w="1098" w:type="dxa"/>
            <w:vAlign w:val="center"/>
          </w:tcPr>
          <w:p>
            <w:pPr>
              <w:jc w:val="center"/>
              <w:rPr>
                <w:rFonts w:hint="eastAsia" w:ascii="仿宋_GB2312" w:eastAsia="仿宋_GB2312"/>
                <w:sz w:val="24"/>
                <w:szCs w:val="24"/>
                <w:lang w:eastAsia="zh-CN"/>
              </w:rPr>
            </w:pPr>
            <w:r>
              <w:rPr>
                <w:rFonts w:hint="eastAsia" w:ascii="仿宋_GB2312" w:hAnsi="宋体" w:eastAsia="仿宋_GB2312"/>
                <w:color w:val="auto"/>
                <w:sz w:val="22"/>
                <w:szCs w:val="22"/>
              </w:rPr>
              <w:t>管理培训生</w:t>
            </w:r>
            <w:r>
              <w:rPr>
                <w:rFonts w:hint="eastAsia" w:ascii="仿宋_GB2312" w:hAnsi="宋体" w:eastAsia="仿宋_GB2312"/>
                <w:color w:val="auto"/>
                <w:sz w:val="22"/>
                <w:szCs w:val="22"/>
                <w:lang w:eastAsia="zh-CN"/>
              </w:rPr>
              <w:t>（</w:t>
            </w:r>
            <w:r>
              <w:rPr>
                <w:rFonts w:hint="eastAsia" w:ascii="仿宋_GB2312" w:hAnsi="宋体" w:eastAsia="仿宋_GB2312"/>
                <w:color w:val="auto"/>
                <w:sz w:val="22"/>
                <w:szCs w:val="22"/>
                <w:lang w:val="en-US" w:eastAsia="zh-CN"/>
              </w:rPr>
              <w:t>2020届全日制大专、本科毕业</w:t>
            </w:r>
            <w:r>
              <w:rPr>
                <w:rFonts w:hint="eastAsia" w:ascii="仿宋_GB2312" w:hAnsi="宋体" w:eastAsia="仿宋_GB2312"/>
                <w:color w:val="auto"/>
                <w:sz w:val="22"/>
                <w:szCs w:val="22"/>
                <w:lang w:eastAsia="zh-CN"/>
              </w:rPr>
              <w:t>）</w:t>
            </w:r>
          </w:p>
        </w:tc>
        <w:tc>
          <w:tcPr>
            <w:tcW w:w="114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不限</w:t>
            </w:r>
          </w:p>
        </w:tc>
        <w:tc>
          <w:tcPr>
            <w:tcW w:w="10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大专及以上学历全日制应届毕业生</w:t>
            </w:r>
          </w:p>
        </w:tc>
        <w:tc>
          <w:tcPr>
            <w:tcW w:w="1935" w:type="dxa"/>
            <w:vAlign w:val="center"/>
          </w:tcPr>
          <w:p>
            <w:pPr>
              <w:jc w:val="center"/>
              <w:rPr>
                <w:rFonts w:hint="eastAsia" w:ascii="仿宋_GB2312" w:hAnsi="宋体" w:eastAsia="仿宋_GB2312"/>
                <w:color w:val="auto"/>
                <w:sz w:val="22"/>
                <w:szCs w:val="22"/>
              </w:rPr>
            </w:pPr>
            <w:r>
              <w:rPr>
                <w:rFonts w:hint="eastAsia" w:ascii="仿宋_GB2312" w:hAnsi="宋体" w:eastAsia="仿宋_GB2312"/>
                <w:color w:val="auto"/>
                <w:sz w:val="22"/>
                <w:szCs w:val="22"/>
                <w:lang w:val="en-US" w:eastAsia="zh-CN"/>
              </w:rPr>
              <w:t>大专：年收入</w:t>
            </w:r>
            <w:r>
              <w:rPr>
                <w:rFonts w:hint="eastAsia" w:ascii="仿宋_GB2312" w:hAnsi="宋体" w:eastAsia="仿宋_GB2312"/>
                <w:color w:val="auto"/>
                <w:sz w:val="22"/>
                <w:szCs w:val="22"/>
              </w:rPr>
              <w:t>约4.5-5万元</w:t>
            </w:r>
          </w:p>
          <w:p>
            <w:pPr>
              <w:jc w:val="center"/>
              <w:rPr>
                <w:rFonts w:hint="eastAsia" w:ascii="仿宋_GB2312" w:eastAsia="仿宋_GB2312"/>
                <w:sz w:val="24"/>
                <w:szCs w:val="24"/>
                <w:lang w:val="en-US" w:eastAsia="zh-CN"/>
              </w:rPr>
            </w:pPr>
            <w:r>
              <w:rPr>
                <w:rFonts w:hint="eastAsia" w:ascii="仿宋_GB2312" w:hAnsi="宋体" w:eastAsia="仿宋_GB2312"/>
                <w:color w:val="auto"/>
                <w:sz w:val="22"/>
                <w:szCs w:val="22"/>
                <w:lang w:val="en-US" w:eastAsia="zh-CN"/>
              </w:rPr>
              <w:t>本科：年收入</w:t>
            </w:r>
            <w:r>
              <w:rPr>
                <w:rFonts w:hint="eastAsia" w:ascii="仿宋_GB2312" w:hAnsi="宋体" w:eastAsia="仿宋_GB2312"/>
                <w:color w:val="auto"/>
                <w:sz w:val="22"/>
                <w:szCs w:val="22"/>
              </w:rPr>
              <w:t>4.8-5.5万元</w:t>
            </w:r>
          </w:p>
        </w:tc>
        <w:tc>
          <w:tcPr>
            <w:tcW w:w="1020" w:type="dxa"/>
            <w:vMerge w:val="restart"/>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古梓文</w:t>
            </w:r>
          </w:p>
        </w:tc>
        <w:tc>
          <w:tcPr>
            <w:tcW w:w="1789" w:type="dxa"/>
            <w:vMerge w:val="restart"/>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19107534630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出纳</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大专及以上学历</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4.8-5.5万元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系统员</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中专及以上学历</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4.8-5.5万元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水电工</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高中（或中专）以上文化</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5-6万元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驾驶员</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初中及以上学历</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4.5-6万元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营业员</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初中及以上学历</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4-5万元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交通协管员</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40</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初中及以上学历</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4.5-5.5万元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1362" w:type="dxa"/>
            <w:vMerge w:val="continue"/>
            <w:vAlign w:val="center"/>
          </w:tcPr>
          <w:p>
            <w:pPr>
              <w:jc w:val="center"/>
              <w:rPr>
                <w:rFonts w:ascii="仿宋_GB2312" w:eastAsia="仿宋_GB2312"/>
                <w:sz w:val="24"/>
                <w:szCs w:val="24"/>
              </w:rPr>
            </w:pPr>
          </w:p>
        </w:tc>
        <w:tc>
          <w:tcPr>
            <w:tcW w:w="3321" w:type="dxa"/>
            <w:vMerge w:val="continue"/>
            <w:vAlign w:val="center"/>
          </w:tcPr>
          <w:p>
            <w:pPr>
              <w:jc w:val="center"/>
              <w:rPr>
                <w:rFonts w:ascii="仿宋_GB2312" w:eastAsia="仿宋_GB2312"/>
                <w:sz w:val="24"/>
                <w:szCs w:val="24"/>
              </w:rPr>
            </w:pPr>
          </w:p>
        </w:tc>
        <w:tc>
          <w:tcPr>
            <w:tcW w:w="1098"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加油员</w:t>
            </w:r>
          </w:p>
        </w:tc>
        <w:tc>
          <w:tcPr>
            <w:tcW w:w="1149"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不限</w:t>
            </w:r>
          </w:p>
        </w:tc>
        <w:tc>
          <w:tcPr>
            <w:tcW w:w="10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40</w:t>
            </w:r>
          </w:p>
        </w:tc>
        <w:tc>
          <w:tcPr>
            <w:tcW w:w="840" w:type="dxa"/>
            <w:vAlign w:val="center"/>
          </w:tcPr>
          <w:p>
            <w:pPr>
              <w:jc w:val="center"/>
              <w:rPr>
                <w:rFonts w:ascii="仿宋_GB2312" w:eastAsia="仿宋_GB2312"/>
                <w:sz w:val="24"/>
                <w:szCs w:val="24"/>
              </w:rPr>
            </w:pPr>
            <w:r>
              <w:rPr>
                <w:rFonts w:hint="eastAsia" w:ascii="仿宋_GB2312" w:hAnsi="宋体" w:eastAsia="仿宋_GB2312"/>
                <w:color w:val="auto"/>
                <w:sz w:val="22"/>
                <w:szCs w:val="22"/>
              </w:rPr>
              <w:t>中专及以上学历</w:t>
            </w:r>
          </w:p>
        </w:tc>
        <w:tc>
          <w:tcPr>
            <w:tcW w:w="1935" w:type="dxa"/>
            <w:vAlign w:val="center"/>
          </w:tcPr>
          <w:p>
            <w:pPr>
              <w:jc w:val="center"/>
              <w:rPr>
                <w:rFonts w:ascii="仿宋_GB2312" w:eastAsia="仿宋_GB2312"/>
                <w:sz w:val="24"/>
                <w:szCs w:val="24"/>
              </w:rPr>
            </w:pPr>
            <w:r>
              <w:rPr>
                <w:rFonts w:hint="eastAsia" w:ascii="仿宋_GB2312" w:hAnsi="宋体" w:eastAsia="仿宋_GB2312"/>
                <w:color w:val="auto"/>
                <w:sz w:val="22"/>
                <w:szCs w:val="22"/>
                <w:lang w:val="en-US" w:eastAsia="zh-CN"/>
              </w:rPr>
              <w:t>年收入</w:t>
            </w:r>
            <w:r>
              <w:rPr>
                <w:rFonts w:hint="eastAsia" w:ascii="仿宋_GB2312" w:hAnsi="宋体" w:eastAsia="仿宋_GB2312"/>
                <w:color w:val="auto"/>
                <w:sz w:val="22"/>
                <w:szCs w:val="22"/>
              </w:rPr>
              <w:t>5-6.5万元</w:t>
            </w:r>
          </w:p>
        </w:tc>
        <w:tc>
          <w:tcPr>
            <w:tcW w:w="1020" w:type="dxa"/>
            <w:vMerge w:val="continue"/>
            <w:vAlign w:val="center"/>
          </w:tcPr>
          <w:p>
            <w:pPr>
              <w:jc w:val="center"/>
              <w:rPr>
                <w:rFonts w:ascii="仿宋_GB2312" w:eastAsia="仿宋_GB2312"/>
                <w:sz w:val="24"/>
                <w:szCs w:val="24"/>
              </w:rPr>
            </w:pPr>
          </w:p>
        </w:tc>
        <w:tc>
          <w:tcPr>
            <w:tcW w:w="1789" w:type="dxa"/>
            <w:vMerge w:val="continue"/>
            <w:vAlign w:val="center"/>
          </w:tcPr>
          <w:p>
            <w:pPr>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457" w:type="dxa"/>
            <w:vAlign w:val="center"/>
          </w:tcPr>
          <w:p>
            <w:pPr>
              <w:jc w:val="center"/>
              <w:rPr>
                <w:rFonts w:hint="eastAsia" w:ascii="仿宋_GB2312" w:eastAsia="仿宋_GB2312"/>
                <w:sz w:val="24"/>
                <w:szCs w:val="24"/>
                <w:lang w:val="en-US" w:eastAsia="zh-CN"/>
              </w:rPr>
            </w:pPr>
          </w:p>
        </w:tc>
        <w:tc>
          <w:tcPr>
            <w:tcW w:w="1362" w:type="dxa"/>
            <w:vAlign w:val="center"/>
          </w:tcPr>
          <w:p>
            <w:pPr>
              <w:jc w:val="center"/>
              <w:rPr>
                <w:rFonts w:ascii="仿宋_GB2312" w:eastAsia="仿宋_GB2312"/>
                <w:sz w:val="24"/>
                <w:szCs w:val="24"/>
              </w:rPr>
            </w:pPr>
          </w:p>
        </w:tc>
        <w:tc>
          <w:tcPr>
            <w:tcW w:w="3321" w:type="dxa"/>
            <w:vAlign w:val="center"/>
          </w:tcPr>
          <w:p>
            <w:pPr>
              <w:jc w:val="center"/>
              <w:rPr>
                <w:rFonts w:ascii="仿宋_GB2312" w:eastAsia="仿宋_GB2312"/>
                <w:sz w:val="24"/>
                <w:szCs w:val="24"/>
              </w:rPr>
            </w:pPr>
          </w:p>
        </w:tc>
        <w:tc>
          <w:tcPr>
            <w:tcW w:w="1098" w:type="dxa"/>
            <w:vAlign w:val="center"/>
          </w:tcPr>
          <w:p>
            <w:pPr>
              <w:jc w:val="center"/>
              <w:rPr>
                <w:rFonts w:hint="eastAsia" w:ascii="仿宋_GB2312" w:hAnsi="宋体" w:eastAsia="仿宋_GB2312"/>
                <w:color w:val="auto"/>
                <w:sz w:val="22"/>
                <w:szCs w:val="22"/>
                <w:lang w:val="en-US" w:eastAsia="zh-CN"/>
              </w:rPr>
            </w:pPr>
            <w:r>
              <w:rPr>
                <w:rFonts w:hint="eastAsia" w:ascii="仿宋_GB2312" w:hAnsi="宋体" w:eastAsia="仿宋_GB2312"/>
                <w:color w:val="auto"/>
                <w:sz w:val="22"/>
                <w:szCs w:val="22"/>
                <w:lang w:val="en-US" w:eastAsia="zh-CN"/>
              </w:rPr>
              <w:t>厨师</w:t>
            </w:r>
          </w:p>
        </w:tc>
        <w:tc>
          <w:tcPr>
            <w:tcW w:w="114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不限</w:t>
            </w:r>
          </w:p>
        </w:tc>
        <w:tc>
          <w:tcPr>
            <w:tcW w:w="10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840" w:type="dxa"/>
            <w:vAlign w:val="center"/>
          </w:tcPr>
          <w:p>
            <w:pPr>
              <w:jc w:val="center"/>
              <w:rPr>
                <w:rFonts w:hint="default" w:ascii="仿宋_GB2312" w:hAnsi="宋体" w:eastAsia="仿宋_GB2312"/>
                <w:color w:val="auto"/>
                <w:sz w:val="22"/>
                <w:szCs w:val="22"/>
                <w:lang w:val="en-US" w:eastAsia="zh-CN"/>
              </w:rPr>
            </w:pPr>
            <w:r>
              <w:rPr>
                <w:rFonts w:hint="eastAsia" w:ascii="仿宋_GB2312" w:hAnsi="宋体" w:eastAsia="仿宋_GB2312"/>
                <w:color w:val="auto"/>
                <w:sz w:val="22"/>
                <w:szCs w:val="22"/>
                <w:lang w:val="en-US" w:eastAsia="zh-CN"/>
              </w:rPr>
              <w:t>初中以上</w:t>
            </w:r>
          </w:p>
        </w:tc>
        <w:tc>
          <w:tcPr>
            <w:tcW w:w="1935" w:type="dxa"/>
            <w:vAlign w:val="center"/>
          </w:tcPr>
          <w:p>
            <w:pPr>
              <w:jc w:val="center"/>
              <w:rPr>
                <w:rFonts w:hint="eastAsia" w:ascii="仿宋_GB2312" w:hAnsi="宋体" w:eastAsia="仿宋_GB2312"/>
                <w:color w:val="auto"/>
                <w:sz w:val="22"/>
                <w:szCs w:val="22"/>
                <w:lang w:val="en-US" w:eastAsia="zh-CN"/>
              </w:rPr>
            </w:pPr>
            <w:r>
              <w:rPr>
                <w:rFonts w:hint="eastAsia" w:ascii="仿宋_GB2312" w:hAnsi="宋体" w:eastAsia="仿宋_GB2312"/>
                <w:color w:val="auto"/>
                <w:sz w:val="22"/>
                <w:szCs w:val="22"/>
                <w:lang w:val="en-US" w:eastAsia="zh-CN"/>
              </w:rPr>
              <w:t>年收入4.4</w:t>
            </w:r>
            <w:r>
              <w:rPr>
                <w:rFonts w:hint="eastAsia" w:ascii="仿宋_GB2312" w:hAnsi="宋体" w:eastAsia="仿宋_GB2312"/>
                <w:color w:val="auto"/>
                <w:sz w:val="22"/>
                <w:szCs w:val="22"/>
              </w:rPr>
              <w:t>-</w:t>
            </w:r>
            <w:r>
              <w:rPr>
                <w:rFonts w:hint="eastAsia" w:ascii="仿宋_GB2312" w:hAnsi="宋体" w:eastAsia="仿宋_GB2312"/>
                <w:color w:val="auto"/>
                <w:sz w:val="22"/>
                <w:szCs w:val="22"/>
                <w:lang w:val="en-US" w:eastAsia="zh-CN"/>
              </w:rPr>
              <w:t>5</w:t>
            </w:r>
            <w:r>
              <w:rPr>
                <w:rFonts w:hint="eastAsia" w:ascii="仿宋_GB2312" w:hAnsi="宋体" w:eastAsia="仿宋_GB2312"/>
                <w:color w:val="auto"/>
                <w:sz w:val="22"/>
                <w:szCs w:val="22"/>
              </w:rPr>
              <w:t>.5万元</w:t>
            </w:r>
          </w:p>
        </w:tc>
        <w:tc>
          <w:tcPr>
            <w:tcW w:w="1020" w:type="dxa"/>
            <w:vAlign w:val="center"/>
          </w:tcPr>
          <w:p>
            <w:pPr>
              <w:jc w:val="center"/>
              <w:rPr>
                <w:rFonts w:ascii="仿宋_GB2312" w:eastAsia="仿宋_GB2312"/>
                <w:sz w:val="24"/>
                <w:szCs w:val="24"/>
              </w:rPr>
            </w:pPr>
          </w:p>
        </w:tc>
        <w:tc>
          <w:tcPr>
            <w:tcW w:w="1789" w:type="dxa"/>
            <w:vAlign w:val="center"/>
          </w:tcPr>
          <w:p>
            <w:pPr>
              <w:jc w:val="center"/>
              <w:rPr>
                <w:rFonts w:ascii="仿宋_GB2312" w:eastAsia="仿宋_GB2312"/>
                <w:sz w:val="24"/>
                <w:szCs w:val="24"/>
              </w:rPr>
            </w:pPr>
          </w:p>
        </w:tc>
      </w:tr>
    </w:tbl>
    <w:p>
      <w:bookmarkStart w:id="0" w:name="_GoBack"/>
      <w:bookmarkEnd w:id="0"/>
      <w:r>
        <w:t>备注：标题的括号里面填写单位名称。</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60F4"/>
    <w:rsid w:val="000C325D"/>
    <w:rsid w:val="00171287"/>
    <w:rsid w:val="00313618"/>
    <w:rsid w:val="003208E3"/>
    <w:rsid w:val="00360277"/>
    <w:rsid w:val="003660F9"/>
    <w:rsid w:val="00385C3C"/>
    <w:rsid w:val="00391DA2"/>
    <w:rsid w:val="00435152"/>
    <w:rsid w:val="004F23B5"/>
    <w:rsid w:val="00504411"/>
    <w:rsid w:val="00685391"/>
    <w:rsid w:val="007E37F9"/>
    <w:rsid w:val="0094375E"/>
    <w:rsid w:val="009C5AEB"/>
    <w:rsid w:val="00A2516B"/>
    <w:rsid w:val="00A84770"/>
    <w:rsid w:val="00BA60F4"/>
    <w:rsid w:val="00C6598A"/>
    <w:rsid w:val="00D132BF"/>
    <w:rsid w:val="00ED0F50"/>
    <w:rsid w:val="00F24B40"/>
    <w:rsid w:val="047C4E60"/>
    <w:rsid w:val="06BF18BD"/>
    <w:rsid w:val="090E4809"/>
    <w:rsid w:val="104D04C0"/>
    <w:rsid w:val="2C822CC7"/>
    <w:rsid w:val="34BF6923"/>
    <w:rsid w:val="3990184F"/>
    <w:rsid w:val="3F41131D"/>
    <w:rsid w:val="474509DC"/>
    <w:rsid w:val="558726C5"/>
    <w:rsid w:val="559328A3"/>
    <w:rsid w:val="69751A79"/>
    <w:rsid w:val="6B0475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0753-5556633</Company>
  <Pages>2</Pages>
  <Words>18</Words>
  <Characters>104</Characters>
  <Lines>1</Lines>
  <Paragraphs>1</Paragraphs>
  <TotalTime>1</TotalTime>
  <ScaleCrop>false</ScaleCrop>
  <LinksUpToDate>false</LinksUpToDate>
  <CharactersWithSpaces>121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2019-04-12T03:10:00Z</dcterms:created>
  <dc:creator>联创电脑</dc:creator>
  <cp:lastModifiedBy>gzw</cp:lastModifiedBy>
  <dcterms:modified xsi:type="dcterms:W3CDTF">2020-11-30T08:47:20Z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