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7300D">
      <w:pPr>
        <w:pStyle w:val="2"/>
        <w:keepNext w:val="0"/>
        <w:keepLines w:val="0"/>
        <w:pageBreakBefore w:val="0"/>
        <w:widowControl/>
        <w:kinsoku/>
        <w:wordWrap/>
        <w:overflowPunct/>
        <w:topLinePunct w:val="0"/>
        <w:autoSpaceDE w:val="0"/>
        <w:autoSpaceDN w:val="0"/>
        <w:bidi w:val="0"/>
        <w:adjustRightInd w:val="0"/>
        <w:snapToGrid w:val="0"/>
        <w:spacing w:line="660" w:lineRule="exact"/>
        <w:jc w:val="center"/>
        <w:textAlignment w:val="baseline"/>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pacing w:val="0"/>
          <w:sz w:val="44"/>
          <w:szCs w:val="44"/>
          <w:lang w:eastAsia="zh-CN"/>
        </w:rPr>
        <w:t>大埔县</w:t>
      </w:r>
      <w:r>
        <w:rPr>
          <w:rFonts w:hint="eastAsia" w:ascii="方正小标宋_GBK" w:hAnsi="方正小标宋_GBK" w:eastAsia="方正小标宋_GBK" w:cs="方正小标宋_GBK"/>
          <w:spacing w:val="0"/>
          <w:sz w:val="44"/>
          <w:szCs w:val="44"/>
        </w:rPr>
        <w:t>行政事业性国有资产管理</w:t>
      </w:r>
    </w:p>
    <w:p w14:paraId="6D13BA05">
      <w:pPr>
        <w:pStyle w:val="2"/>
        <w:keepNext w:val="0"/>
        <w:keepLines w:val="0"/>
        <w:pageBreakBefore w:val="0"/>
        <w:widowControl/>
        <w:kinsoku/>
        <w:wordWrap/>
        <w:overflowPunct/>
        <w:topLinePunct w:val="0"/>
        <w:autoSpaceDE w:val="0"/>
        <w:autoSpaceDN w:val="0"/>
        <w:bidi w:val="0"/>
        <w:adjustRightInd w:val="0"/>
        <w:snapToGrid w:val="0"/>
        <w:spacing w:line="660" w:lineRule="exact"/>
        <w:jc w:val="center"/>
        <w:textAlignment w:val="baseline"/>
        <w:rPr>
          <w:rFonts w:hint="eastAsia" w:ascii="方正小标宋_GBK" w:hAnsi="方正小标宋_GBK" w:eastAsia="方正小标宋_GBK" w:cs="方正小标宋_GBK"/>
          <w:spacing w:val="0"/>
          <w:sz w:val="44"/>
          <w:szCs w:val="44"/>
          <w:lang w:eastAsia="zh-CN"/>
        </w:rPr>
      </w:pPr>
      <w:r>
        <w:rPr>
          <w:rFonts w:hint="eastAsia" w:ascii="方正小标宋_GBK" w:hAnsi="方正小标宋_GBK" w:eastAsia="方正小标宋_GBK" w:cs="方正小标宋_GBK"/>
          <w:spacing w:val="0"/>
          <w:sz w:val="44"/>
          <w:szCs w:val="44"/>
          <w:lang w:eastAsia="zh-CN"/>
        </w:rPr>
        <w:t>实施细则</w:t>
      </w:r>
      <w:bookmarkStart w:id="0" w:name="_GoBack"/>
      <w:bookmarkEnd w:id="0"/>
      <w:r>
        <w:rPr>
          <w:rFonts w:hint="eastAsia" w:ascii="方正小标宋_GBK" w:hAnsi="方正小标宋_GBK" w:eastAsia="方正小标宋_GBK" w:cs="方正小标宋_GBK"/>
          <w:spacing w:val="0"/>
          <w:sz w:val="44"/>
          <w:szCs w:val="44"/>
          <w:lang w:eastAsia="zh-CN"/>
        </w:rPr>
        <w:t>（</w:t>
      </w:r>
      <w:r>
        <w:rPr>
          <w:rFonts w:hint="eastAsia" w:ascii="方正小标宋_GBK" w:hAnsi="方正小标宋_GBK" w:eastAsia="方正小标宋_GBK" w:cs="方正小标宋_GBK"/>
          <w:spacing w:val="0"/>
          <w:sz w:val="44"/>
          <w:szCs w:val="44"/>
        </w:rPr>
        <w:t>试行</w:t>
      </w:r>
      <w:r>
        <w:rPr>
          <w:rFonts w:hint="eastAsia" w:ascii="方正小标宋_GBK" w:hAnsi="方正小标宋_GBK" w:eastAsia="方正小标宋_GBK" w:cs="方正小标宋_GBK"/>
          <w:spacing w:val="0"/>
          <w:sz w:val="44"/>
          <w:szCs w:val="44"/>
          <w:lang w:eastAsia="zh-CN"/>
        </w:rPr>
        <w:t>）</w:t>
      </w:r>
    </w:p>
    <w:p w14:paraId="57994CC0">
      <w:pPr>
        <w:keepNext w:val="0"/>
        <w:keepLines w:val="0"/>
        <w:pageBreakBefore w:val="0"/>
        <w:widowControl/>
        <w:kinsoku/>
        <w:wordWrap/>
        <w:overflowPunct/>
        <w:topLinePunct w:val="0"/>
        <w:autoSpaceDE w:val="0"/>
        <w:autoSpaceDN w:val="0"/>
        <w:bidi w:val="0"/>
        <w:adjustRightInd w:val="0"/>
        <w:snapToGrid w:val="0"/>
        <w:spacing w:line="660" w:lineRule="exact"/>
        <w:jc w:val="center"/>
        <w:textAlignment w:val="baseline"/>
        <w:rPr>
          <w:rFonts w:hint="eastAsia" w:ascii="方正仿宋_GBK" w:hAnsi="方正仿宋_GBK" w:eastAsia="方正仿宋_GBK" w:cs="方正仿宋_GBK"/>
          <w:spacing w:val="0"/>
          <w:sz w:val="32"/>
          <w:szCs w:val="32"/>
          <w:lang w:val="en-US" w:eastAsia="zh-CN"/>
        </w:rPr>
      </w:pPr>
      <w:r>
        <w:rPr>
          <w:rFonts w:hint="eastAsia" w:ascii="方正小标宋_GBK" w:hAnsi="方正小标宋_GBK" w:eastAsia="方正小标宋_GBK" w:cs="方正小标宋_GBK"/>
          <w:spacing w:val="0"/>
          <w:sz w:val="44"/>
          <w:szCs w:val="44"/>
          <w:lang w:val="en-US" w:eastAsia="zh-CN"/>
        </w:rPr>
        <w:t>（征求意见稿）</w:t>
      </w:r>
    </w:p>
    <w:p w14:paraId="60E02B86">
      <w:pPr>
        <w:keepNext w:val="0"/>
        <w:keepLines w:val="0"/>
        <w:pageBreakBefore w:val="0"/>
        <w:widowControl/>
        <w:kinsoku/>
        <w:wordWrap/>
        <w:overflowPunct/>
        <w:topLinePunct w:val="0"/>
        <w:autoSpaceDE w:val="0"/>
        <w:autoSpaceDN w:val="0"/>
        <w:bidi w:val="0"/>
        <w:adjustRightInd w:val="0"/>
        <w:snapToGrid w:val="0"/>
        <w:spacing w:line="580" w:lineRule="exact"/>
        <w:jc w:val="center"/>
        <w:textAlignment w:val="baseline"/>
        <w:rPr>
          <w:rFonts w:ascii="方正仿宋_GBK" w:hAnsi="方正仿宋_GBK" w:eastAsia="方正仿宋_GBK" w:cs="方正仿宋_GBK"/>
          <w:spacing w:val="0"/>
          <w:sz w:val="32"/>
          <w:szCs w:val="32"/>
          <w:lang w:eastAsia="zh-CN"/>
        </w:rPr>
      </w:pPr>
    </w:p>
    <w:p w14:paraId="1606860B">
      <w:pPr>
        <w:keepNext w:val="0"/>
        <w:keepLines w:val="0"/>
        <w:pageBreakBefore w:val="0"/>
        <w:widowControl/>
        <w:kinsoku/>
        <w:wordWrap/>
        <w:overflowPunct/>
        <w:topLinePunct w:val="0"/>
        <w:autoSpaceDE w:val="0"/>
        <w:autoSpaceDN w:val="0"/>
        <w:bidi w:val="0"/>
        <w:adjustRightInd w:val="0"/>
        <w:snapToGrid w:val="0"/>
        <w:spacing w:afterLines="50" w:line="580" w:lineRule="exact"/>
        <w:ind w:firstLine="0" w:firstLineChars="0"/>
        <w:jc w:val="center"/>
        <w:textAlignment w:val="baseline"/>
        <w:rPr>
          <w:rFonts w:ascii="方正黑体_GBK" w:hAnsi="方正黑体_GBK" w:eastAsia="方正黑体_GBK" w:cs="方正黑体_GBK"/>
          <w:spacing w:val="0"/>
          <w:sz w:val="32"/>
          <w:szCs w:val="32"/>
        </w:rPr>
      </w:pPr>
      <w:r>
        <w:rPr>
          <w:rFonts w:hint="eastAsia" w:ascii="方正黑体_GBK" w:hAnsi="方正黑体_GBK" w:eastAsia="方正黑体_GBK" w:cs="方正黑体_GBK"/>
          <w:spacing w:val="0"/>
          <w:sz w:val="32"/>
          <w:szCs w:val="32"/>
        </w:rPr>
        <w:t>第一章</w:t>
      </w:r>
      <w:r>
        <w:rPr>
          <w:rFonts w:hint="eastAsia" w:ascii="方正黑体_GBK" w:hAnsi="方正黑体_GBK" w:eastAsia="方正黑体_GBK" w:cs="方正黑体_GBK"/>
          <w:spacing w:val="0"/>
          <w:sz w:val="32"/>
          <w:szCs w:val="32"/>
          <w:lang w:eastAsia="zh-CN"/>
        </w:rPr>
        <w:t xml:space="preserve"> </w:t>
      </w:r>
      <w:r>
        <w:rPr>
          <w:rFonts w:hint="eastAsia" w:ascii="方正黑体_GBK" w:hAnsi="方正黑体_GBK" w:eastAsia="方正黑体_GBK" w:cs="方正黑体_GBK"/>
          <w:spacing w:val="0"/>
          <w:sz w:val="32"/>
          <w:szCs w:val="32"/>
        </w:rPr>
        <w:t xml:space="preserve"> 总 则</w:t>
      </w:r>
    </w:p>
    <w:p w14:paraId="4EE56F5A">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ascii="方正仿宋_GBK" w:hAnsi="方正仿宋_GBK" w:eastAsia="方正仿宋_GBK" w:cs="方正仿宋_GBK"/>
          <w:spacing w:val="0"/>
          <w:sz w:val="32"/>
          <w:szCs w:val="32"/>
        </w:rPr>
      </w:pPr>
      <w:r>
        <w:rPr>
          <w:rFonts w:hint="eastAsia" w:ascii="方正楷体_GBK" w:hAnsi="方正楷体_GBK" w:eastAsia="方正楷体_GBK" w:cs="方正楷体_GBK"/>
          <w:spacing w:val="0"/>
          <w:sz w:val="32"/>
          <w:szCs w:val="32"/>
        </w:rPr>
        <w:t>第一条</w:t>
      </w:r>
      <w:r>
        <w:rPr>
          <w:rFonts w:hint="eastAsia" w:ascii="方正仿宋_GBK" w:hAnsi="方正仿宋_GBK" w:eastAsia="方正仿宋_GBK" w:cs="方正仿宋_GBK"/>
          <w:spacing w:val="0"/>
          <w:sz w:val="32"/>
          <w:szCs w:val="32"/>
          <w:lang w:eastAsia="zh-CN"/>
        </w:rPr>
        <w:t xml:space="preserve"> </w:t>
      </w:r>
      <w:r>
        <w:rPr>
          <w:rFonts w:hint="eastAsia" w:ascii="方正仿宋_GBK" w:hAnsi="方正仿宋_GBK" w:eastAsia="方正仿宋_GBK" w:cs="方正仿宋_GBK"/>
          <w:spacing w:val="0"/>
          <w:sz w:val="32"/>
          <w:szCs w:val="32"/>
        </w:rPr>
        <w:t>为加强我</w:t>
      </w:r>
      <w:r>
        <w:rPr>
          <w:rFonts w:hint="eastAsia" w:ascii="方正仿宋_GBK" w:hAnsi="方正仿宋_GBK" w:eastAsia="方正仿宋_GBK" w:cs="方正仿宋_GBK"/>
          <w:spacing w:val="0"/>
          <w:sz w:val="32"/>
          <w:szCs w:val="32"/>
          <w:lang w:eastAsia="zh-CN"/>
        </w:rPr>
        <w:t>县</w:t>
      </w:r>
      <w:r>
        <w:rPr>
          <w:rFonts w:hint="eastAsia" w:ascii="方正仿宋_GBK" w:hAnsi="方正仿宋_GBK" w:eastAsia="方正仿宋_GBK" w:cs="方正仿宋_GBK"/>
          <w:spacing w:val="0"/>
          <w:sz w:val="32"/>
          <w:szCs w:val="32"/>
        </w:rPr>
        <w:t>行政事业性国有资产管理与监督，健全我</w:t>
      </w:r>
      <w:r>
        <w:rPr>
          <w:rFonts w:hint="eastAsia" w:ascii="方正仿宋_GBK" w:hAnsi="方正仿宋_GBK" w:eastAsia="方正仿宋_GBK" w:cs="方正仿宋_GBK"/>
          <w:spacing w:val="0"/>
          <w:sz w:val="32"/>
          <w:szCs w:val="32"/>
          <w:lang w:eastAsia="zh-CN"/>
        </w:rPr>
        <w:t>县</w:t>
      </w:r>
      <w:r>
        <w:rPr>
          <w:rFonts w:hint="eastAsia" w:ascii="方正仿宋_GBK" w:hAnsi="方正仿宋_GBK" w:eastAsia="方正仿宋_GBK" w:cs="方正仿宋_GBK"/>
          <w:spacing w:val="0"/>
          <w:sz w:val="32"/>
          <w:szCs w:val="32"/>
        </w:rPr>
        <w:t>国有资产管理体制，保障行政事业单位高效履职，推进国有资产管理高质量发展，根据《中华人民共和国预算法》《行政事业性国有资产管理条例》等法律法规，</w:t>
      </w:r>
      <w:r>
        <w:rPr>
          <w:rFonts w:hint="eastAsia" w:ascii="方正仿宋_GBK" w:hAnsi="方正仿宋_GBK" w:eastAsia="方正仿宋_GBK" w:cs="方正仿宋_GBK"/>
          <w:spacing w:val="0"/>
          <w:sz w:val="32"/>
          <w:szCs w:val="32"/>
          <w:lang w:eastAsia="zh-CN"/>
        </w:rPr>
        <w:t>按照《梅州市财政局 梅州市机关事务管理局转发广东省财政厅 广东省机关事务管理局关于印发〈广东省行政事业性国有资产管理办法（试行）〉的通知》</w:t>
      </w:r>
      <w:r>
        <w:rPr>
          <w:rFonts w:ascii="Times New Roman" w:hAnsi="Times New Roman" w:eastAsia="方正仿宋_GBK" w:cs="Times New Roman"/>
          <w:spacing w:val="0"/>
          <w:sz w:val="32"/>
          <w:szCs w:val="32"/>
          <w:lang w:eastAsia="zh-CN"/>
        </w:rPr>
        <w:t>（梅市财资〔2024〕7号）</w:t>
      </w:r>
      <w:r>
        <w:rPr>
          <w:rFonts w:hint="eastAsia" w:ascii="Times New Roman" w:hAnsi="Times New Roman" w:eastAsia="方正仿宋_GBK" w:cs="Times New Roman"/>
          <w:spacing w:val="0"/>
          <w:sz w:val="32"/>
          <w:szCs w:val="32"/>
          <w:lang w:eastAsia="zh-CN"/>
        </w:rPr>
        <w:t>的精神</w:t>
      </w:r>
      <w:r>
        <w:rPr>
          <w:rFonts w:ascii="方正仿宋_GBK" w:hAnsi="方正仿宋_GBK" w:eastAsia="方正仿宋_GBK" w:cs="方正仿宋_GBK"/>
          <w:spacing w:val="0"/>
          <w:sz w:val="32"/>
          <w:szCs w:val="32"/>
          <w:lang w:eastAsia="zh-CN"/>
        </w:rPr>
        <w:t>，</w:t>
      </w:r>
      <w:r>
        <w:rPr>
          <w:rFonts w:ascii="方正仿宋_GBK" w:hAnsi="方正仿宋_GBK" w:eastAsia="方正仿宋_GBK" w:cs="方正仿宋_GBK"/>
          <w:spacing w:val="0"/>
          <w:sz w:val="32"/>
          <w:szCs w:val="32"/>
        </w:rPr>
        <w:t>结合本</w:t>
      </w:r>
      <w:r>
        <w:rPr>
          <w:rFonts w:ascii="方正仿宋_GBK" w:hAnsi="方正仿宋_GBK" w:eastAsia="方正仿宋_GBK" w:cs="方正仿宋_GBK"/>
          <w:spacing w:val="0"/>
          <w:sz w:val="32"/>
          <w:szCs w:val="32"/>
          <w:lang w:eastAsia="zh-CN"/>
        </w:rPr>
        <w:t>县</w:t>
      </w:r>
      <w:r>
        <w:rPr>
          <w:rFonts w:ascii="方正仿宋_GBK" w:hAnsi="方正仿宋_GBK" w:eastAsia="方正仿宋_GBK" w:cs="方正仿宋_GBK"/>
          <w:spacing w:val="0"/>
          <w:sz w:val="32"/>
          <w:szCs w:val="32"/>
        </w:rPr>
        <w:t>实际</w:t>
      </w:r>
      <w:r>
        <w:rPr>
          <w:rFonts w:hint="eastAsia" w:ascii="方正仿宋_GBK" w:hAnsi="方正仿宋_GBK" w:eastAsia="方正仿宋_GBK" w:cs="方正仿宋_GBK"/>
          <w:spacing w:val="0"/>
          <w:sz w:val="32"/>
          <w:szCs w:val="32"/>
          <w:lang w:eastAsia="zh-CN"/>
        </w:rPr>
        <w:t>，</w:t>
      </w:r>
      <w:r>
        <w:rPr>
          <w:rFonts w:ascii="方正仿宋_GBK" w:hAnsi="方正仿宋_GBK" w:eastAsia="方正仿宋_GBK" w:cs="方正仿宋_GBK"/>
          <w:spacing w:val="0"/>
          <w:sz w:val="32"/>
          <w:szCs w:val="32"/>
        </w:rPr>
        <w:t>制定本</w:t>
      </w:r>
      <w:r>
        <w:rPr>
          <w:rFonts w:hint="eastAsia" w:ascii="方正仿宋_GBK" w:hAnsi="方正仿宋_GBK" w:eastAsia="方正仿宋_GBK" w:cs="方正仿宋_GBK"/>
          <w:spacing w:val="0"/>
          <w:sz w:val="32"/>
          <w:szCs w:val="32"/>
          <w:lang w:eastAsia="zh-CN"/>
        </w:rPr>
        <w:t>实施细则</w:t>
      </w:r>
      <w:r>
        <w:rPr>
          <w:rFonts w:ascii="方正仿宋_GBK" w:hAnsi="方正仿宋_GBK" w:eastAsia="方正仿宋_GBK" w:cs="方正仿宋_GBK"/>
          <w:spacing w:val="0"/>
          <w:sz w:val="32"/>
          <w:szCs w:val="32"/>
        </w:rPr>
        <w:t>。</w:t>
      </w:r>
    </w:p>
    <w:p w14:paraId="17F3F4E6">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ascii="方正仿宋_GBK" w:hAnsi="方正仿宋_GBK" w:eastAsia="方正仿宋_GBK" w:cs="方正仿宋_GBK"/>
          <w:spacing w:val="0"/>
          <w:sz w:val="32"/>
          <w:szCs w:val="32"/>
        </w:rPr>
      </w:pPr>
      <w:r>
        <w:rPr>
          <w:rFonts w:hint="eastAsia" w:ascii="方正楷体_GBK" w:hAnsi="方正楷体_GBK" w:eastAsia="方正楷体_GBK" w:cs="方正楷体_GBK"/>
          <w:spacing w:val="0"/>
          <w:sz w:val="32"/>
          <w:szCs w:val="32"/>
        </w:rPr>
        <w:t>第二条</w:t>
      </w:r>
      <w:r>
        <w:rPr>
          <w:rFonts w:hint="eastAsia" w:ascii="方正仿宋_GBK" w:hAnsi="方正仿宋_GBK" w:eastAsia="方正仿宋_GBK" w:cs="方正仿宋_GBK"/>
          <w:spacing w:val="0"/>
          <w:sz w:val="32"/>
          <w:szCs w:val="32"/>
          <w:lang w:eastAsia="zh-CN"/>
        </w:rPr>
        <w:t xml:space="preserve"> </w:t>
      </w:r>
      <w:r>
        <w:rPr>
          <w:rFonts w:hint="eastAsia" w:ascii="方正仿宋_GBK" w:hAnsi="方正仿宋_GBK" w:eastAsia="方正仿宋_GBK" w:cs="方正仿宋_GBK"/>
          <w:spacing w:val="0"/>
          <w:sz w:val="32"/>
          <w:szCs w:val="32"/>
        </w:rPr>
        <w:t>本</w:t>
      </w:r>
      <w:r>
        <w:rPr>
          <w:rFonts w:hint="eastAsia" w:ascii="方正仿宋_GBK" w:hAnsi="方正仿宋_GBK" w:eastAsia="方正仿宋_GBK" w:cs="方正仿宋_GBK"/>
          <w:spacing w:val="0"/>
          <w:sz w:val="32"/>
          <w:szCs w:val="32"/>
          <w:lang w:eastAsia="zh-CN"/>
        </w:rPr>
        <w:t>实施细则</w:t>
      </w:r>
      <w:r>
        <w:rPr>
          <w:rFonts w:hint="eastAsia" w:ascii="方正仿宋_GBK" w:hAnsi="方正仿宋_GBK" w:eastAsia="方正仿宋_GBK" w:cs="方正仿宋_GBK"/>
          <w:spacing w:val="0"/>
          <w:sz w:val="32"/>
          <w:szCs w:val="32"/>
        </w:rPr>
        <w:t>所称行政事业性国有资产，是指行政事业单位通过以下方式取得或者形成的资产：</w:t>
      </w:r>
    </w:p>
    <w:p w14:paraId="00B6ACA8">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一</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使用财政资金形成的资产；</w:t>
      </w:r>
    </w:p>
    <w:p w14:paraId="4B7655EE">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二</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接受调拨或者划转、置换形成的资产；</w:t>
      </w:r>
    </w:p>
    <w:p w14:paraId="3697AF9A">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三</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接受捐赠并确认为国有的资产；</w:t>
      </w:r>
    </w:p>
    <w:p w14:paraId="5EF784BE">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四</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其他国有资产。</w:t>
      </w:r>
    </w:p>
    <w:p w14:paraId="7F383297">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ascii="方正仿宋_GBK" w:hAnsi="方正仿宋_GBK" w:eastAsia="方正仿宋_GBK" w:cs="方正仿宋_GBK"/>
          <w:spacing w:val="0"/>
          <w:sz w:val="32"/>
          <w:szCs w:val="32"/>
        </w:rPr>
      </w:pPr>
      <w:r>
        <w:rPr>
          <w:rFonts w:hint="eastAsia" w:ascii="方正楷体_GBK" w:hAnsi="方正楷体_GBK" w:eastAsia="方正楷体_GBK" w:cs="方正楷体_GBK"/>
          <w:spacing w:val="0"/>
          <w:sz w:val="32"/>
          <w:szCs w:val="32"/>
        </w:rPr>
        <w:t>第三条</w:t>
      </w:r>
      <w:r>
        <w:rPr>
          <w:rFonts w:hint="eastAsia" w:ascii="方正仿宋_GBK" w:hAnsi="方正仿宋_GBK" w:eastAsia="方正仿宋_GBK" w:cs="方正仿宋_GBK"/>
          <w:spacing w:val="0"/>
          <w:sz w:val="32"/>
          <w:szCs w:val="32"/>
          <w:lang w:eastAsia="zh-CN"/>
        </w:rPr>
        <w:t xml:space="preserve"> </w:t>
      </w:r>
      <w:r>
        <w:rPr>
          <w:rFonts w:hint="eastAsia" w:ascii="方正仿宋_GBK" w:hAnsi="方正仿宋_GBK" w:eastAsia="方正仿宋_GBK" w:cs="方正仿宋_GBK"/>
          <w:spacing w:val="0"/>
          <w:sz w:val="32"/>
          <w:szCs w:val="32"/>
        </w:rPr>
        <w:t>本</w:t>
      </w:r>
      <w:r>
        <w:rPr>
          <w:rFonts w:hint="eastAsia" w:ascii="方正仿宋_GBK" w:hAnsi="方正仿宋_GBK" w:eastAsia="方正仿宋_GBK" w:cs="方正仿宋_GBK"/>
          <w:spacing w:val="0"/>
          <w:sz w:val="32"/>
          <w:szCs w:val="32"/>
          <w:lang w:eastAsia="zh-CN"/>
        </w:rPr>
        <w:t>实施细则</w:t>
      </w:r>
      <w:r>
        <w:rPr>
          <w:rFonts w:hint="eastAsia" w:ascii="方正仿宋_GBK" w:hAnsi="方正仿宋_GBK" w:eastAsia="方正仿宋_GBK" w:cs="方正仿宋_GBK"/>
          <w:spacing w:val="0"/>
          <w:sz w:val="32"/>
          <w:szCs w:val="32"/>
        </w:rPr>
        <w:t>适用于</w:t>
      </w:r>
      <w:r>
        <w:rPr>
          <w:rFonts w:hint="eastAsia" w:ascii="方正仿宋_GBK" w:hAnsi="方正仿宋_GBK" w:eastAsia="方正仿宋_GBK" w:cs="方正仿宋_GBK"/>
          <w:spacing w:val="0"/>
          <w:sz w:val="32"/>
          <w:szCs w:val="32"/>
          <w:lang w:eastAsia="zh-CN"/>
        </w:rPr>
        <w:t>大埔县</w:t>
      </w:r>
      <w:r>
        <w:rPr>
          <w:rFonts w:hint="eastAsia" w:ascii="方正仿宋_GBK" w:hAnsi="方正仿宋_GBK" w:eastAsia="方正仿宋_GBK" w:cs="方正仿宋_GBK"/>
          <w:spacing w:val="0"/>
          <w:sz w:val="32"/>
          <w:szCs w:val="32"/>
        </w:rPr>
        <w:t>各级行政事业单位，包括党的机关、人大机关、行政机关、政协机关、监察机关、审判机关</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检察机关、各民主党派机关和有关人民团体机关，以及执行政府会计准则制度的事业单位。</w:t>
      </w:r>
    </w:p>
    <w:p w14:paraId="0B1E303A">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执行企业财务、会计制度的事业单位以及事业单位对外投资的全资企业或者控股企业的资产管理，不适用本</w:t>
      </w:r>
      <w:r>
        <w:rPr>
          <w:rFonts w:hint="eastAsia" w:ascii="方正仿宋_GBK" w:hAnsi="方正仿宋_GBK" w:eastAsia="方正仿宋_GBK" w:cs="方正仿宋_GBK"/>
          <w:spacing w:val="0"/>
          <w:sz w:val="32"/>
          <w:szCs w:val="32"/>
          <w:lang w:eastAsia="zh-CN"/>
        </w:rPr>
        <w:t>实施细则</w:t>
      </w:r>
      <w:r>
        <w:rPr>
          <w:rFonts w:hint="eastAsia" w:ascii="方正仿宋_GBK" w:hAnsi="方正仿宋_GBK" w:eastAsia="方正仿宋_GBK" w:cs="方正仿宋_GBK"/>
          <w:spacing w:val="0"/>
          <w:sz w:val="32"/>
          <w:szCs w:val="32"/>
        </w:rPr>
        <w:t>。</w:t>
      </w:r>
    </w:p>
    <w:p w14:paraId="0E1C5967">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ascii="方正仿宋_GBK" w:hAnsi="方正仿宋_GBK" w:eastAsia="方正仿宋_GBK" w:cs="方正仿宋_GBK"/>
          <w:spacing w:val="0"/>
          <w:sz w:val="32"/>
          <w:szCs w:val="32"/>
        </w:rPr>
      </w:pPr>
      <w:r>
        <w:rPr>
          <w:rFonts w:hint="eastAsia" w:ascii="方正楷体_GBK" w:hAnsi="方正楷体_GBK" w:eastAsia="方正楷体_GBK" w:cs="方正楷体_GBK"/>
          <w:spacing w:val="0"/>
          <w:sz w:val="32"/>
          <w:szCs w:val="32"/>
        </w:rPr>
        <w:t>第四条</w:t>
      </w:r>
      <w:r>
        <w:rPr>
          <w:rFonts w:hint="eastAsia" w:ascii="方正仿宋_GBK" w:hAnsi="方正仿宋_GBK" w:eastAsia="方正仿宋_GBK" w:cs="方正仿宋_GBK"/>
          <w:spacing w:val="0"/>
          <w:sz w:val="32"/>
          <w:szCs w:val="32"/>
        </w:rPr>
        <w:t xml:space="preserve"> 行政事业性国有资产实行国家所有、政府分级监管</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各部门及所属单位直接支配的管理体制。</w:t>
      </w:r>
    </w:p>
    <w:p w14:paraId="44DFD3B7">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ascii="方正仿宋_GBK" w:hAnsi="方正仿宋_GBK" w:eastAsia="方正仿宋_GBK" w:cs="方正仿宋_GBK"/>
          <w:spacing w:val="0"/>
          <w:sz w:val="32"/>
          <w:szCs w:val="32"/>
          <w:lang w:eastAsia="zh-CN"/>
        </w:rPr>
      </w:pPr>
      <w:r>
        <w:rPr>
          <w:rFonts w:hint="eastAsia" w:ascii="方正楷体_GBK" w:hAnsi="方正楷体_GBK" w:eastAsia="方正楷体_GBK" w:cs="方正楷体_GBK"/>
          <w:spacing w:val="0"/>
          <w:sz w:val="32"/>
          <w:szCs w:val="32"/>
        </w:rPr>
        <w:t>第五条</w:t>
      </w:r>
      <w:r>
        <w:rPr>
          <w:rFonts w:hint="eastAsia" w:ascii="方正仿宋_GBK" w:hAnsi="方正仿宋_GBK" w:eastAsia="方正仿宋_GBK" w:cs="方正仿宋_GBK"/>
          <w:spacing w:val="0"/>
          <w:sz w:val="32"/>
          <w:szCs w:val="32"/>
          <w:lang w:eastAsia="zh-CN"/>
        </w:rPr>
        <w:t xml:space="preserve"> </w:t>
      </w:r>
      <w:r>
        <w:rPr>
          <w:rFonts w:hint="eastAsia" w:ascii="方正仿宋_GBK" w:hAnsi="方正仿宋_GBK" w:eastAsia="方正仿宋_GBK" w:cs="方正仿宋_GBK"/>
          <w:spacing w:val="0"/>
          <w:sz w:val="32"/>
          <w:szCs w:val="32"/>
        </w:rPr>
        <w:t>行政事业性国有资产管理应当遵循安全规范、节约高效、公开透明、权责一致的原则，实现实物管理与价值管理相统一，资产管理与预算管理、财务管理、财会监督相结合</w:t>
      </w:r>
      <w:r>
        <w:rPr>
          <w:rFonts w:hint="eastAsia" w:ascii="方正仿宋_GBK" w:hAnsi="方正仿宋_GBK" w:eastAsia="方正仿宋_GBK" w:cs="方正仿宋_GBK"/>
          <w:spacing w:val="0"/>
          <w:sz w:val="32"/>
          <w:szCs w:val="32"/>
          <w:lang w:eastAsia="zh-CN"/>
        </w:rPr>
        <w:t>。</w:t>
      </w:r>
    </w:p>
    <w:p w14:paraId="296D8CB1">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ascii="方正仿宋_GBK" w:hAnsi="方正仿宋_GBK" w:eastAsia="方正仿宋_GBK" w:cs="方正仿宋_GBK"/>
          <w:spacing w:val="0"/>
          <w:sz w:val="32"/>
          <w:szCs w:val="32"/>
        </w:rPr>
      </w:pPr>
      <w:r>
        <w:rPr>
          <w:rFonts w:hint="eastAsia" w:ascii="方正楷体_GBK" w:hAnsi="方正楷体_GBK" w:eastAsia="方正楷体_GBK" w:cs="方正楷体_GBK"/>
          <w:spacing w:val="0"/>
          <w:sz w:val="32"/>
          <w:szCs w:val="32"/>
        </w:rPr>
        <w:t>第六条</w:t>
      </w:r>
      <w:r>
        <w:rPr>
          <w:rFonts w:hint="eastAsia" w:ascii="方正仿宋_GBK" w:hAnsi="方正仿宋_GBK" w:eastAsia="方正仿宋_GBK" w:cs="方正仿宋_GBK"/>
          <w:spacing w:val="0"/>
          <w:sz w:val="32"/>
          <w:szCs w:val="32"/>
          <w:lang w:eastAsia="zh-CN"/>
        </w:rPr>
        <w:t xml:space="preserve"> </w:t>
      </w:r>
      <w:r>
        <w:rPr>
          <w:rFonts w:hint="eastAsia" w:ascii="方正仿宋_GBK" w:hAnsi="方正仿宋_GBK" w:eastAsia="方正仿宋_GBK" w:cs="方正仿宋_GBK"/>
          <w:color w:val="auto"/>
          <w:spacing w:val="0"/>
          <w:sz w:val="32"/>
          <w:szCs w:val="32"/>
          <w:highlight w:val="none"/>
        </w:rPr>
        <w:t>县人民政府</w:t>
      </w:r>
      <w:r>
        <w:rPr>
          <w:rFonts w:hint="eastAsia" w:ascii="方正仿宋_GBK" w:hAnsi="方正仿宋_GBK" w:eastAsia="方正仿宋_GBK" w:cs="方正仿宋_GBK"/>
          <w:spacing w:val="0"/>
          <w:sz w:val="32"/>
          <w:szCs w:val="32"/>
        </w:rPr>
        <w:t>审查、批准重大行政事业性国有资产管理事项。</w:t>
      </w:r>
    </w:p>
    <w:p w14:paraId="1A67B03E">
      <w:pPr>
        <w:keepNext w:val="0"/>
        <w:keepLines w:val="0"/>
        <w:pageBreakBefore w:val="0"/>
        <w:widowControl/>
        <w:kinsoku/>
        <w:wordWrap/>
        <w:overflowPunct/>
        <w:topLinePunct w:val="0"/>
        <w:autoSpaceDE w:val="0"/>
        <w:autoSpaceDN w:val="0"/>
        <w:bidi w:val="0"/>
        <w:adjustRightInd w:val="0"/>
        <w:snapToGrid w:val="0"/>
        <w:spacing w:line="580" w:lineRule="exact"/>
        <w:jc w:val="both"/>
        <w:textAlignment w:val="baseline"/>
        <w:rPr>
          <w:rFonts w:ascii="方正黑体_GBK" w:hAnsi="方正黑体_GBK" w:eastAsia="方正黑体_GBK" w:cs="方正黑体_GBK"/>
          <w:spacing w:val="0"/>
          <w:sz w:val="32"/>
          <w:szCs w:val="32"/>
        </w:rPr>
      </w:pPr>
    </w:p>
    <w:p w14:paraId="3876045E">
      <w:pPr>
        <w:keepNext w:val="0"/>
        <w:keepLines w:val="0"/>
        <w:pageBreakBefore w:val="0"/>
        <w:widowControl/>
        <w:numPr>
          <w:ilvl w:val="0"/>
          <w:numId w:val="1"/>
        </w:numPr>
        <w:kinsoku/>
        <w:wordWrap/>
        <w:overflowPunct/>
        <w:topLinePunct w:val="0"/>
        <w:autoSpaceDE w:val="0"/>
        <w:autoSpaceDN w:val="0"/>
        <w:bidi w:val="0"/>
        <w:adjustRightInd w:val="0"/>
        <w:snapToGrid w:val="0"/>
        <w:spacing w:afterLines="50" w:line="580" w:lineRule="exact"/>
        <w:jc w:val="center"/>
        <w:textAlignment w:val="baseline"/>
        <w:rPr>
          <w:rFonts w:ascii="方正黑体_GBK" w:hAnsi="方正黑体_GBK" w:eastAsia="方正黑体_GBK" w:cs="方正黑体_GBK"/>
          <w:spacing w:val="0"/>
          <w:sz w:val="32"/>
          <w:szCs w:val="32"/>
        </w:rPr>
      </w:pPr>
      <w:r>
        <w:rPr>
          <w:rFonts w:hint="eastAsia" w:ascii="方正黑体_GBK" w:hAnsi="方正黑体_GBK" w:eastAsia="方正黑体_GBK" w:cs="方正黑体_GBK"/>
          <w:spacing w:val="0"/>
          <w:sz w:val="32"/>
          <w:szCs w:val="32"/>
        </w:rPr>
        <w:t>职责分工</w:t>
      </w:r>
    </w:p>
    <w:p w14:paraId="29ED7D31">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ascii="方正仿宋_GBK" w:hAnsi="方正仿宋_GBK" w:eastAsia="方正仿宋_GBK" w:cs="方正仿宋_GBK"/>
          <w:spacing w:val="0"/>
          <w:sz w:val="32"/>
          <w:szCs w:val="32"/>
        </w:rPr>
      </w:pPr>
      <w:r>
        <w:rPr>
          <w:rFonts w:hint="eastAsia" w:ascii="方正楷体_GBK" w:hAnsi="方正楷体_GBK" w:eastAsia="方正楷体_GBK" w:cs="方正楷体_GBK"/>
          <w:spacing w:val="0"/>
          <w:sz w:val="32"/>
          <w:szCs w:val="32"/>
        </w:rPr>
        <w:t>第七条</w:t>
      </w:r>
      <w:r>
        <w:rPr>
          <w:rFonts w:hint="eastAsia" w:ascii="方正仿宋_GBK" w:hAnsi="方正仿宋_GBK" w:eastAsia="方正仿宋_GBK" w:cs="方正仿宋_GBK"/>
          <w:spacing w:val="0"/>
          <w:sz w:val="32"/>
          <w:szCs w:val="32"/>
          <w:lang w:eastAsia="zh-CN"/>
        </w:rPr>
        <w:t xml:space="preserve"> 县</w:t>
      </w:r>
      <w:r>
        <w:rPr>
          <w:rFonts w:hint="eastAsia" w:ascii="方正仿宋_GBK" w:hAnsi="方正仿宋_GBK" w:eastAsia="方正仿宋_GBK" w:cs="方正仿宋_GBK"/>
          <w:spacing w:val="0"/>
          <w:sz w:val="32"/>
          <w:szCs w:val="32"/>
        </w:rPr>
        <w:t>财政部门负责</w:t>
      </w:r>
      <w:r>
        <w:rPr>
          <w:rFonts w:hint="eastAsia" w:ascii="方正仿宋_GBK" w:hAnsi="方正仿宋_GBK" w:eastAsia="方正仿宋_GBK" w:cs="方正仿宋_GBK"/>
          <w:spacing w:val="0"/>
          <w:sz w:val="32"/>
          <w:szCs w:val="32"/>
          <w:lang w:eastAsia="zh-CN"/>
        </w:rPr>
        <w:t>制订全县</w:t>
      </w:r>
      <w:r>
        <w:rPr>
          <w:rFonts w:hint="eastAsia" w:ascii="方正仿宋_GBK" w:hAnsi="方正仿宋_GBK" w:eastAsia="方正仿宋_GBK" w:cs="方正仿宋_GBK"/>
          <w:spacing w:val="0"/>
          <w:sz w:val="32"/>
          <w:szCs w:val="32"/>
        </w:rPr>
        <w:t>行政事业性国有资产管理规章制度，并负责组织实施和监督检查，编制行政事业性国有资产管理情况报告。</w:t>
      </w:r>
    </w:p>
    <w:p w14:paraId="4490F8F4">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ascii="方正仿宋_GBK" w:hAnsi="方正仿宋_GBK" w:eastAsia="方正仿宋_GBK" w:cs="方正仿宋_GBK"/>
          <w:spacing w:val="0"/>
          <w:sz w:val="32"/>
          <w:szCs w:val="32"/>
        </w:rPr>
      </w:pPr>
      <w:r>
        <w:rPr>
          <w:rFonts w:hint="eastAsia" w:ascii="方正楷体_GBK" w:hAnsi="方正楷体_GBK" w:eastAsia="方正楷体_GBK" w:cs="方正楷体_GBK"/>
          <w:spacing w:val="0"/>
          <w:sz w:val="32"/>
          <w:szCs w:val="32"/>
        </w:rPr>
        <w:t>第</w:t>
      </w:r>
      <w:r>
        <w:rPr>
          <w:rFonts w:hint="eastAsia" w:ascii="方正楷体_GBK" w:hAnsi="方正楷体_GBK" w:eastAsia="方正楷体_GBK" w:cs="方正楷体_GBK"/>
          <w:spacing w:val="0"/>
          <w:sz w:val="32"/>
          <w:szCs w:val="32"/>
          <w:lang w:eastAsia="zh-CN"/>
        </w:rPr>
        <w:t>八</w:t>
      </w:r>
      <w:r>
        <w:rPr>
          <w:rFonts w:hint="eastAsia" w:ascii="方正楷体_GBK" w:hAnsi="方正楷体_GBK" w:eastAsia="方正楷体_GBK" w:cs="方正楷体_GBK"/>
          <w:spacing w:val="0"/>
          <w:sz w:val="32"/>
          <w:szCs w:val="32"/>
        </w:rPr>
        <w:t>条</w:t>
      </w:r>
      <w:r>
        <w:rPr>
          <w:rFonts w:hint="eastAsia" w:ascii="方正仿宋_GBK" w:hAnsi="方正仿宋_GBK" w:eastAsia="方正仿宋_GBK" w:cs="方正仿宋_GBK"/>
          <w:spacing w:val="0"/>
          <w:sz w:val="32"/>
          <w:szCs w:val="32"/>
          <w:lang w:eastAsia="zh-CN"/>
        </w:rPr>
        <w:t xml:space="preserve"> 全县行政事业单位（以下简称“各部门”）</w:t>
      </w:r>
      <w:r>
        <w:rPr>
          <w:rFonts w:hint="eastAsia" w:ascii="方正仿宋_GBK" w:hAnsi="方正仿宋_GBK" w:eastAsia="方正仿宋_GBK" w:cs="方正仿宋_GBK"/>
          <w:spacing w:val="0"/>
          <w:sz w:val="32"/>
          <w:szCs w:val="32"/>
        </w:rPr>
        <w:t>负责本部门及其所属单位国有资产管理工作，应当明确管理责任，指导</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监督所属单位国有资产管理工作。</w:t>
      </w:r>
    </w:p>
    <w:p w14:paraId="7470483C">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lang w:eastAsia="zh-CN"/>
        </w:rPr>
        <w:t>各部门及其所属单位</w:t>
      </w:r>
      <w:r>
        <w:rPr>
          <w:rFonts w:hint="eastAsia" w:ascii="方正仿宋_GBK" w:hAnsi="方正仿宋_GBK" w:eastAsia="方正仿宋_GBK" w:cs="方正仿宋_GBK"/>
          <w:spacing w:val="0"/>
          <w:sz w:val="32"/>
          <w:szCs w:val="32"/>
        </w:rPr>
        <w:t>负责本单位行政事业性国有资产的具体管理</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应当建立和完善内部控制管理制度，充实工作力量，明确资产管理各岗位职责，建立岗位责任制。</w:t>
      </w:r>
    </w:p>
    <w:p w14:paraId="592A669A">
      <w:pPr>
        <w:keepNext w:val="0"/>
        <w:keepLines w:val="0"/>
        <w:pageBreakBefore w:val="0"/>
        <w:widowControl/>
        <w:kinsoku/>
        <w:wordWrap/>
        <w:overflowPunct/>
        <w:topLinePunct w:val="0"/>
        <w:autoSpaceDE w:val="0"/>
        <w:autoSpaceDN w:val="0"/>
        <w:bidi w:val="0"/>
        <w:adjustRightInd w:val="0"/>
        <w:snapToGrid w:val="0"/>
        <w:spacing w:line="580" w:lineRule="exact"/>
        <w:ind w:firstLine="659"/>
        <w:jc w:val="both"/>
        <w:textAlignment w:val="baseline"/>
        <w:rPr>
          <w:rFonts w:ascii="方正仿宋_GBK" w:hAnsi="方正仿宋_GBK" w:eastAsia="方正仿宋_GBK" w:cs="方正仿宋_GBK"/>
          <w:spacing w:val="0"/>
          <w:sz w:val="32"/>
          <w:szCs w:val="32"/>
        </w:rPr>
      </w:pPr>
    </w:p>
    <w:p w14:paraId="4BFDE47E">
      <w:pPr>
        <w:keepNext w:val="0"/>
        <w:keepLines w:val="0"/>
        <w:pageBreakBefore w:val="0"/>
        <w:widowControl/>
        <w:kinsoku/>
        <w:wordWrap/>
        <w:overflowPunct/>
        <w:topLinePunct w:val="0"/>
        <w:autoSpaceDE w:val="0"/>
        <w:autoSpaceDN w:val="0"/>
        <w:bidi w:val="0"/>
        <w:adjustRightInd w:val="0"/>
        <w:snapToGrid w:val="0"/>
        <w:spacing w:afterLines="50" w:line="580" w:lineRule="exact"/>
        <w:jc w:val="center"/>
        <w:textAlignment w:val="baseline"/>
        <w:rPr>
          <w:rFonts w:hint="eastAsia" w:ascii="方正黑体_GBK" w:hAnsi="方正黑体_GBK" w:eastAsia="方正黑体_GBK" w:cs="方正黑体_GBK"/>
          <w:spacing w:val="0"/>
          <w:sz w:val="32"/>
          <w:szCs w:val="32"/>
        </w:rPr>
      </w:pPr>
    </w:p>
    <w:p w14:paraId="116EF2FE">
      <w:pPr>
        <w:keepNext w:val="0"/>
        <w:keepLines w:val="0"/>
        <w:pageBreakBefore w:val="0"/>
        <w:widowControl/>
        <w:kinsoku/>
        <w:wordWrap/>
        <w:overflowPunct/>
        <w:topLinePunct w:val="0"/>
        <w:autoSpaceDE w:val="0"/>
        <w:autoSpaceDN w:val="0"/>
        <w:bidi w:val="0"/>
        <w:adjustRightInd w:val="0"/>
        <w:snapToGrid w:val="0"/>
        <w:spacing w:afterLines="50" w:line="580" w:lineRule="exact"/>
        <w:jc w:val="center"/>
        <w:textAlignment w:val="baseline"/>
        <w:rPr>
          <w:rFonts w:ascii="方正黑体_GBK" w:hAnsi="方正黑体_GBK" w:eastAsia="方正黑体_GBK" w:cs="方正黑体_GBK"/>
          <w:spacing w:val="0"/>
          <w:sz w:val="32"/>
          <w:szCs w:val="32"/>
        </w:rPr>
      </w:pPr>
      <w:r>
        <w:rPr>
          <w:rFonts w:hint="eastAsia" w:ascii="方正黑体_GBK" w:hAnsi="方正黑体_GBK" w:eastAsia="方正黑体_GBK" w:cs="方正黑体_GBK"/>
          <w:spacing w:val="0"/>
          <w:sz w:val="32"/>
          <w:szCs w:val="32"/>
        </w:rPr>
        <w:t>第三章</w:t>
      </w:r>
      <w:r>
        <w:rPr>
          <w:rFonts w:hint="eastAsia" w:ascii="方正黑体_GBK" w:hAnsi="方正黑体_GBK" w:eastAsia="方正黑体_GBK" w:cs="方正黑体_GBK"/>
          <w:spacing w:val="0"/>
          <w:sz w:val="32"/>
          <w:szCs w:val="32"/>
          <w:lang w:eastAsia="zh-CN"/>
        </w:rPr>
        <w:t xml:space="preserve">  </w:t>
      </w:r>
      <w:r>
        <w:rPr>
          <w:rFonts w:hint="eastAsia" w:ascii="方正黑体_GBK" w:hAnsi="方正黑体_GBK" w:eastAsia="方正黑体_GBK" w:cs="方正黑体_GBK"/>
          <w:spacing w:val="0"/>
          <w:sz w:val="32"/>
          <w:szCs w:val="32"/>
        </w:rPr>
        <w:t>资产配置</w:t>
      </w:r>
    </w:p>
    <w:p w14:paraId="66D58900">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ascii="方正仿宋_GBK" w:hAnsi="方正仿宋_GBK" w:eastAsia="方正仿宋_GBK" w:cs="方正仿宋_GBK"/>
          <w:spacing w:val="0"/>
          <w:sz w:val="32"/>
          <w:szCs w:val="32"/>
        </w:rPr>
      </w:pPr>
      <w:r>
        <w:rPr>
          <w:rFonts w:hint="eastAsia" w:ascii="方正楷体_GBK" w:hAnsi="方正楷体_GBK" w:eastAsia="方正楷体_GBK" w:cs="方正楷体_GBK"/>
          <w:spacing w:val="0"/>
          <w:sz w:val="32"/>
          <w:szCs w:val="32"/>
        </w:rPr>
        <w:t>第</w:t>
      </w:r>
      <w:r>
        <w:rPr>
          <w:rFonts w:hint="eastAsia" w:ascii="方正楷体_GBK" w:hAnsi="方正楷体_GBK" w:eastAsia="方正楷体_GBK" w:cs="方正楷体_GBK"/>
          <w:spacing w:val="0"/>
          <w:sz w:val="32"/>
          <w:szCs w:val="32"/>
          <w:lang w:eastAsia="zh-CN"/>
        </w:rPr>
        <w:t>九</w:t>
      </w:r>
      <w:r>
        <w:rPr>
          <w:rFonts w:hint="eastAsia" w:ascii="方正楷体_GBK" w:hAnsi="方正楷体_GBK" w:eastAsia="方正楷体_GBK" w:cs="方正楷体_GBK"/>
          <w:spacing w:val="0"/>
          <w:sz w:val="32"/>
          <w:szCs w:val="32"/>
        </w:rPr>
        <w:t>条</w:t>
      </w:r>
      <w:r>
        <w:rPr>
          <w:rFonts w:hint="eastAsia" w:ascii="方正仿宋_GBK" w:hAnsi="方正仿宋_GBK" w:eastAsia="方正仿宋_GBK" w:cs="方正仿宋_GBK"/>
          <w:spacing w:val="0"/>
          <w:sz w:val="32"/>
          <w:szCs w:val="32"/>
        </w:rPr>
        <w:t xml:space="preserve"> 各部门及其所属单位应当根据履行职能和事业发展的需要，结合资产存量、资产配置标准、绩效目标和财政承受能力配置资产。</w:t>
      </w:r>
    </w:p>
    <w:p w14:paraId="7990C897">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hint="eastAsia" w:ascii="方正仿宋_GBK" w:hAnsi="方正仿宋_GBK" w:eastAsia="方正仿宋_GBK" w:cs="方正仿宋_GBK"/>
          <w:spacing w:val="0"/>
          <w:sz w:val="32"/>
          <w:szCs w:val="32"/>
        </w:rPr>
      </w:pPr>
      <w:r>
        <w:rPr>
          <w:rFonts w:hint="eastAsia" w:ascii="方正楷体_GBK" w:hAnsi="方正楷体_GBK" w:eastAsia="方正楷体_GBK" w:cs="方正楷体_GBK"/>
          <w:spacing w:val="0"/>
          <w:sz w:val="32"/>
          <w:szCs w:val="32"/>
        </w:rPr>
        <w:t>第十条</w:t>
      </w:r>
      <w:r>
        <w:rPr>
          <w:rFonts w:hint="eastAsia" w:ascii="方正仿宋_GBK" w:hAnsi="方正仿宋_GBK" w:eastAsia="方正仿宋_GBK" w:cs="方正仿宋_GBK"/>
          <w:spacing w:val="0"/>
          <w:sz w:val="32"/>
          <w:szCs w:val="32"/>
          <w:lang w:eastAsia="zh-CN"/>
        </w:rPr>
        <w:t xml:space="preserve"> </w:t>
      </w:r>
      <w:r>
        <w:rPr>
          <w:rFonts w:hint="eastAsia" w:ascii="方正仿宋_GBK" w:hAnsi="方正仿宋_GBK" w:eastAsia="方正仿宋_GBK" w:cs="方正仿宋_GBK"/>
          <w:spacing w:val="0"/>
          <w:sz w:val="32"/>
          <w:szCs w:val="32"/>
        </w:rPr>
        <w:t>资产配置包括调剂、购置、建设、租用、接受捐赠等方式。各部门及其所属单位应当优先通过调剂方式配置资产，确实无法调剂的，可以采取购置、建设、租用等方式。</w:t>
      </w:r>
    </w:p>
    <w:p w14:paraId="02055323">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一般办公设施设备、电子设备、办公家具等的配置，由各单位按照实际情况，从经济实用的角度自行配置，各</w:t>
      </w:r>
      <w:r>
        <w:rPr>
          <w:rFonts w:hint="eastAsia" w:ascii="方正仿宋_GBK" w:hAnsi="方正仿宋_GBK" w:eastAsia="方正仿宋_GBK" w:cs="方正仿宋_GBK"/>
          <w:spacing w:val="0"/>
          <w:sz w:val="32"/>
          <w:szCs w:val="32"/>
        </w:rPr>
        <w:t>部门及其所属</w:t>
      </w:r>
      <w:r>
        <w:rPr>
          <w:rFonts w:hint="eastAsia" w:ascii="方正仿宋_GBK" w:hAnsi="方正仿宋_GBK" w:eastAsia="方正仿宋_GBK" w:cs="方正仿宋_GBK"/>
          <w:spacing w:val="0"/>
          <w:sz w:val="32"/>
          <w:szCs w:val="32"/>
          <w:lang w:val="en-US" w:eastAsia="zh-CN"/>
        </w:rPr>
        <w:t>单位自觉执行政府采购程序或招投标的相关规定。</w:t>
      </w:r>
    </w:p>
    <w:p w14:paraId="4511E537">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hint="default" w:asciiTheme="minorEastAsia" w:hAnsiTheme="minorEastAsia" w:eastAsiaTheme="minorEastAsia" w:cstheme="minorEastAsia"/>
          <w:spacing w:val="0"/>
          <w:sz w:val="32"/>
          <w:szCs w:val="32"/>
          <w:lang w:val="en-US" w:eastAsia="zh-CN"/>
        </w:rPr>
      </w:pPr>
      <w:r>
        <w:rPr>
          <w:rFonts w:hint="eastAsia" w:ascii="方正仿宋_GBK" w:hAnsi="方正仿宋_GBK" w:eastAsia="方正仿宋_GBK" w:cs="方正仿宋_GBK"/>
          <w:spacing w:val="0"/>
          <w:sz w:val="32"/>
          <w:szCs w:val="32"/>
          <w:lang w:val="en-US" w:eastAsia="zh-CN"/>
        </w:rPr>
        <w:t>办公用房配置和大型办公设施设备的配置，由使用单位提出需求，包括可行性、必要性的论证，说明资金来源，报财政局审核后报县政府批准。县政府批准后，其中新建的办公用房，使用部门应按照相应的基本建设程序进行建设，大型设施设备的配置应严格按照政府采购程序或招投标的相关规定进行办理。</w:t>
      </w:r>
    </w:p>
    <w:p w14:paraId="2814EBC1">
      <w:pPr>
        <w:keepNext w:val="0"/>
        <w:keepLines w:val="0"/>
        <w:pageBreakBefore w:val="0"/>
        <w:widowControl/>
        <w:numPr>
          <w:ilvl w:val="0"/>
          <w:numId w:val="0"/>
        </w:numPr>
        <w:kinsoku/>
        <w:wordWrap/>
        <w:overflowPunct/>
        <w:topLinePunct w:val="0"/>
        <w:autoSpaceDE w:val="0"/>
        <w:autoSpaceDN w:val="0"/>
        <w:bidi w:val="0"/>
        <w:adjustRightInd w:val="0"/>
        <w:snapToGrid w:val="0"/>
        <w:spacing w:line="580" w:lineRule="exact"/>
        <w:ind w:firstLine="649" w:firstLineChars="150"/>
        <w:jc w:val="both"/>
        <w:textAlignment w:val="baseline"/>
        <w:rPr>
          <w:rFonts w:hint="eastAsia" w:ascii="Times New Roman" w:hAnsi="Times New Roman" w:eastAsia="方正仿宋_GBK" w:cs="Times New Roman"/>
          <w:snapToGrid w:val="0"/>
          <w:color w:val="000000"/>
          <w:spacing w:val="0"/>
          <w:sz w:val="32"/>
          <w:szCs w:val="32"/>
          <w:lang w:val="en-US" w:eastAsia="zh-CN" w:bidi="ar-SA"/>
        </w:rPr>
      </w:pPr>
      <w:r>
        <w:rPr>
          <w:rFonts w:hint="eastAsia" w:ascii="Times New Roman" w:hAnsi="Times New Roman" w:eastAsia="方正仿宋_GBK" w:cs="Times New Roman"/>
          <w:snapToGrid w:val="0"/>
          <w:color w:val="000000"/>
          <w:spacing w:val="0"/>
          <w:sz w:val="32"/>
          <w:szCs w:val="32"/>
          <w:lang w:val="en-US" w:eastAsia="zh-CN" w:bidi="ar-SA"/>
        </w:rPr>
        <w:t>公务用车配置按照公车管理的有关规定执行。</w:t>
      </w:r>
    </w:p>
    <w:p w14:paraId="6723DF26">
      <w:pPr>
        <w:keepNext w:val="0"/>
        <w:keepLines w:val="0"/>
        <w:pageBreakBefore w:val="0"/>
        <w:widowControl/>
        <w:numPr>
          <w:ilvl w:val="0"/>
          <w:numId w:val="0"/>
        </w:numPr>
        <w:kinsoku/>
        <w:wordWrap/>
        <w:overflowPunct/>
        <w:topLinePunct w:val="0"/>
        <w:autoSpaceDE w:val="0"/>
        <w:autoSpaceDN w:val="0"/>
        <w:bidi w:val="0"/>
        <w:adjustRightInd w:val="0"/>
        <w:snapToGrid w:val="0"/>
        <w:spacing w:line="580" w:lineRule="exact"/>
        <w:ind w:firstLine="649" w:firstLineChars="150"/>
        <w:jc w:val="both"/>
        <w:textAlignment w:val="baseline"/>
        <w:rPr>
          <w:rFonts w:ascii="Times New Roman" w:hAnsi="Times New Roman" w:eastAsia="方正仿宋_GBK" w:cs="Times New Roman"/>
          <w:spacing w:val="0"/>
          <w:sz w:val="32"/>
          <w:szCs w:val="32"/>
        </w:rPr>
      </w:pPr>
      <w:r>
        <w:rPr>
          <w:rFonts w:hint="eastAsia" w:ascii="方正楷体_GBK" w:hAnsi="方正楷体_GBK" w:eastAsia="方正楷体_GBK" w:cs="方正楷体_GBK"/>
          <w:spacing w:val="0"/>
          <w:sz w:val="32"/>
          <w:szCs w:val="32"/>
          <w:lang w:val="en-US" w:eastAsia="en-US"/>
        </w:rPr>
        <w:t>第十一条</w:t>
      </w:r>
      <w:r>
        <w:rPr>
          <w:rFonts w:hint="eastAsia" w:ascii="方正楷体_GBK" w:hAnsi="方正楷体_GBK" w:eastAsia="方正楷体_GBK" w:cs="方正楷体_GBK"/>
          <w:spacing w:val="0"/>
          <w:sz w:val="32"/>
          <w:szCs w:val="32"/>
          <w:lang w:val="en-US" w:eastAsia="zh-CN"/>
        </w:rPr>
        <w:t xml:space="preserve"> </w:t>
      </w:r>
      <w:r>
        <w:rPr>
          <w:rFonts w:hint="eastAsia" w:ascii="Times New Roman" w:hAnsi="Times New Roman" w:eastAsia="方正仿宋_GBK" w:cs="Times New Roman"/>
          <w:snapToGrid w:val="0"/>
          <w:color w:val="000000"/>
          <w:spacing w:val="0"/>
          <w:sz w:val="32"/>
          <w:szCs w:val="32"/>
          <w:lang w:val="en-US" w:eastAsia="zh-CN" w:bidi="ar-SA"/>
        </w:rPr>
        <w:t xml:space="preserve"> </w:t>
      </w:r>
      <w:r>
        <w:rPr>
          <w:rFonts w:ascii="Times New Roman" w:hAnsi="Times New Roman" w:eastAsia="方正仿宋_GBK" w:cs="Times New Roman"/>
          <w:spacing w:val="0"/>
          <w:sz w:val="32"/>
          <w:szCs w:val="32"/>
        </w:rPr>
        <w:t>各部门及其所属单位采用建设方式配置资产的</w:t>
      </w:r>
      <w:r>
        <w:rPr>
          <w:rFonts w:ascii="Times New Roman" w:hAnsi="Times New Roman" w:eastAsia="方正仿宋_GBK" w:cs="Times New Roman"/>
          <w:spacing w:val="0"/>
          <w:sz w:val="32"/>
          <w:szCs w:val="32"/>
          <w:lang w:eastAsia="zh-CN"/>
        </w:rPr>
        <w:t>，</w:t>
      </w:r>
      <w:r>
        <w:rPr>
          <w:rFonts w:ascii="Times New Roman" w:hAnsi="Times New Roman" w:eastAsia="方正仿宋_GBK" w:cs="Times New Roman"/>
          <w:spacing w:val="0"/>
          <w:sz w:val="32"/>
          <w:szCs w:val="32"/>
        </w:rPr>
        <w:t>应当在建设项目竣工验收合格后及时办理资产交付手续，并在规定期限内办理竣工财务决算，期限最长不得超过</w:t>
      </w:r>
      <w:r>
        <w:rPr>
          <w:rFonts w:ascii="Times New Roman" w:hAnsi="Times New Roman" w:eastAsia="方正仿宋_GBK" w:cs="Times New Roman"/>
          <w:spacing w:val="0"/>
          <w:sz w:val="32"/>
          <w:szCs w:val="32"/>
          <w:lang w:eastAsia="zh-CN"/>
        </w:rPr>
        <w:t>1</w:t>
      </w:r>
      <w:r>
        <w:rPr>
          <w:rFonts w:ascii="Times New Roman" w:hAnsi="Times New Roman" w:eastAsia="方正仿宋_GBK" w:cs="Times New Roman"/>
          <w:spacing w:val="0"/>
          <w:sz w:val="32"/>
          <w:szCs w:val="32"/>
        </w:rPr>
        <w:t>年。对已交付但未办理竣工财务决算的建设项目，应当按照国家统一的会计制度确认资产价值。</w:t>
      </w:r>
    </w:p>
    <w:p w14:paraId="185FCC90">
      <w:pPr>
        <w:keepNext w:val="0"/>
        <w:keepLines w:val="0"/>
        <w:pageBreakBefore w:val="0"/>
        <w:widowControl/>
        <w:numPr>
          <w:ilvl w:val="0"/>
          <w:numId w:val="0"/>
        </w:numPr>
        <w:kinsoku/>
        <w:wordWrap/>
        <w:overflowPunct/>
        <w:topLinePunct w:val="0"/>
        <w:autoSpaceDE w:val="0"/>
        <w:autoSpaceDN w:val="0"/>
        <w:bidi w:val="0"/>
        <w:adjustRightInd w:val="0"/>
        <w:snapToGrid w:val="0"/>
        <w:spacing w:line="580" w:lineRule="exact"/>
        <w:jc w:val="both"/>
        <w:textAlignment w:val="baseline"/>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 xml:space="preserve">       </w:t>
      </w:r>
    </w:p>
    <w:p w14:paraId="394D4815">
      <w:pPr>
        <w:keepNext w:val="0"/>
        <w:keepLines w:val="0"/>
        <w:pageBreakBefore w:val="0"/>
        <w:widowControl/>
        <w:kinsoku/>
        <w:wordWrap/>
        <w:overflowPunct/>
        <w:topLinePunct w:val="0"/>
        <w:autoSpaceDE w:val="0"/>
        <w:autoSpaceDN w:val="0"/>
        <w:bidi w:val="0"/>
        <w:adjustRightInd w:val="0"/>
        <w:snapToGrid w:val="0"/>
        <w:spacing w:afterLines="50" w:line="580" w:lineRule="exact"/>
        <w:jc w:val="center"/>
        <w:textAlignment w:val="baseline"/>
        <w:rPr>
          <w:rFonts w:hint="eastAsia" w:ascii="方正黑体_GBK" w:hAnsi="方正黑体_GBK" w:eastAsia="方正黑体_GBK" w:cs="方正黑体_GBK"/>
          <w:spacing w:val="0"/>
          <w:sz w:val="32"/>
          <w:szCs w:val="32"/>
          <w:lang w:eastAsia="zh-CN"/>
        </w:rPr>
      </w:pPr>
      <w:r>
        <w:rPr>
          <w:rFonts w:hint="eastAsia" w:ascii="方正黑体_GBK" w:hAnsi="方正黑体_GBK" w:eastAsia="方正黑体_GBK" w:cs="方正黑体_GBK"/>
          <w:spacing w:val="0"/>
          <w:sz w:val="32"/>
          <w:szCs w:val="32"/>
        </w:rPr>
        <w:t>第</w:t>
      </w:r>
      <w:r>
        <w:rPr>
          <w:rFonts w:hint="eastAsia" w:ascii="方正黑体_GBK" w:hAnsi="方正黑体_GBK" w:eastAsia="方正黑体_GBK" w:cs="方正黑体_GBK"/>
          <w:spacing w:val="0"/>
          <w:sz w:val="32"/>
          <w:szCs w:val="32"/>
          <w:lang w:eastAsia="zh-CN"/>
        </w:rPr>
        <w:t>四</w:t>
      </w:r>
      <w:r>
        <w:rPr>
          <w:rFonts w:hint="eastAsia" w:ascii="方正黑体_GBK" w:hAnsi="方正黑体_GBK" w:eastAsia="方正黑体_GBK" w:cs="方正黑体_GBK"/>
          <w:spacing w:val="0"/>
          <w:sz w:val="32"/>
          <w:szCs w:val="32"/>
        </w:rPr>
        <w:t>章</w:t>
      </w:r>
      <w:r>
        <w:rPr>
          <w:rFonts w:hint="eastAsia" w:ascii="方正黑体_GBK" w:hAnsi="方正黑体_GBK" w:eastAsia="方正黑体_GBK" w:cs="方正黑体_GBK"/>
          <w:spacing w:val="0"/>
          <w:sz w:val="32"/>
          <w:szCs w:val="32"/>
          <w:lang w:eastAsia="zh-CN"/>
        </w:rPr>
        <w:t xml:space="preserve">  </w:t>
      </w:r>
      <w:r>
        <w:rPr>
          <w:rFonts w:hint="eastAsia" w:ascii="方正黑体_GBK" w:hAnsi="方正黑体_GBK" w:eastAsia="方正黑体_GBK" w:cs="方正黑体_GBK"/>
          <w:spacing w:val="0"/>
          <w:sz w:val="32"/>
          <w:szCs w:val="32"/>
        </w:rPr>
        <w:t>资产</w:t>
      </w:r>
      <w:r>
        <w:rPr>
          <w:rFonts w:hint="eastAsia" w:ascii="方正黑体_GBK" w:hAnsi="方正黑体_GBK" w:eastAsia="方正黑体_GBK" w:cs="方正黑体_GBK"/>
          <w:spacing w:val="0"/>
          <w:sz w:val="32"/>
          <w:szCs w:val="32"/>
          <w:lang w:eastAsia="zh-CN"/>
        </w:rPr>
        <w:t>使用</w:t>
      </w:r>
    </w:p>
    <w:p w14:paraId="1D8763F1">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ascii="Times New Roman" w:hAnsi="Times New Roman" w:eastAsia="方正仿宋_GBK" w:cs="Times New Roman"/>
          <w:spacing w:val="0"/>
          <w:sz w:val="32"/>
          <w:szCs w:val="32"/>
        </w:rPr>
      </w:pPr>
      <w:r>
        <w:rPr>
          <w:rFonts w:hint="eastAsia" w:ascii="方正楷体_GBK" w:hAnsi="方正楷体_GBK" w:eastAsia="方正楷体_GBK" w:cs="方正楷体_GBK"/>
          <w:spacing w:val="0"/>
          <w:sz w:val="32"/>
          <w:szCs w:val="32"/>
        </w:rPr>
        <w:t>第十</w:t>
      </w:r>
      <w:r>
        <w:rPr>
          <w:rFonts w:hint="eastAsia" w:ascii="方正楷体_GBK" w:hAnsi="方正楷体_GBK" w:eastAsia="方正楷体_GBK" w:cs="方正楷体_GBK"/>
          <w:spacing w:val="0"/>
          <w:sz w:val="32"/>
          <w:szCs w:val="32"/>
          <w:lang w:eastAsia="zh-CN"/>
        </w:rPr>
        <w:t>二</w:t>
      </w:r>
      <w:r>
        <w:rPr>
          <w:rFonts w:hint="eastAsia" w:ascii="方正楷体_GBK" w:hAnsi="方正楷体_GBK" w:eastAsia="方正楷体_GBK" w:cs="方正楷体_GBK"/>
          <w:spacing w:val="0"/>
          <w:sz w:val="32"/>
          <w:szCs w:val="32"/>
        </w:rPr>
        <w:t>条</w:t>
      </w:r>
      <w:r>
        <w:rPr>
          <w:rFonts w:hint="eastAsia" w:ascii="方正仿宋_GBK" w:hAnsi="方正仿宋_GBK" w:eastAsia="方正仿宋_GBK" w:cs="方正仿宋_GBK"/>
          <w:spacing w:val="0"/>
          <w:sz w:val="32"/>
          <w:szCs w:val="32"/>
          <w:lang w:eastAsia="zh-CN"/>
        </w:rPr>
        <w:t xml:space="preserve"> </w:t>
      </w:r>
      <w:r>
        <w:rPr>
          <w:rFonts w:ascii="Times New Roman" w:hAnsi="Times New Roman" w:eastAsia="方正仿宋_GBK" w:cs="Times New Roman"/>
          <w:spacing w:val="0"/>
          <w:sz w:val="32"/>
          <w:szCs w:val="32"/>
        </w:rPr>
        <w:t>行政事业性国有资产的使用包括单位自用和对外使用，对外使用包括出租、出借和对外投资等。</w:t>
      </w:r>
    </w:p>
    <w:p w14:paraId="54453718">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lang w:eastAsia="zh-CN"/>
        </w:rPr>
        <w:t>行政事业单位的出租出借和闲置资产，由大埔县国有资产投资服务中心统一管理，按照《大埔县国有资产投资服务中心租赁管理制度》</w:t>
      </w:r>
      <w:r>
        <w:rPr>
          <w:rFonts w:hint="default" w:ascii="Times New Roman" w:hAnsi="Times New Roman" w:eastAsia="方正仿宋_GBK" w:cs="Times New Roman"/>
          <w:color w:val="auto"/>
          <w:spacing w:val="0"/>
          <w:sz w:val="32"/>
          <w:szCs w:val="32"/>
          <w:lang w:eastAsia="zh-CN"/>
        </w:rPr>
        <w:t>（埔财国投〔2023〕4号）文</w:t>
      </w:r>
      <w:r>
        <w:rPr>
          <w:rFonts w:hint="default" w:ascii="Times New Roman" w:hAnsi="Times New Roman" w:eastAsia="方正仿宋_GBK" w:cs="Times New Roman"/>
          <w:spacing w:val="0"/>
          <w:sz w:val="32"/>
          <w:szCs w:val="32"/>
          <w:lang w:eastAsia="zh-CN"/>
        </w:rPr>
        <w:t>执行。</w:t>
      </w:r>
    </w:p>
    <w:p w14:paraId="0AB912D8">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lang w:eastAsia="zh-CN"/>
        </w:rPr>
        <w:t>行政事业单位资产出租期限</w:t>
      </w:r>
      <w:r>
        <w:rPr>
          <w:rFonts w:hint="default" w:ascii="Times New Roman" w:hAnsi="Times New Roman" w:eastAsia="方正仿宋_GBK" w:cs="Times New Roman"/>
          <w:spacing w:val="0"/>
          <w:sz w:val="32"/>
          <w:szCs w:val="32"/>
          <w:lang w:val="en-US" w:eastAsia="zh-CN"/>
        </w:rPr>
        <w:t>3</w:t>
      </w:r>
      <w:r>
        <w:rPr>
          <w:rFonts w:hint="default" w:ascii="Times New Roman" w:hAnsi="Times New Roman" w:eastAsia="方正仿宋_GBK" w:cs="Times New Roman"/>
          <w:spacing w:val="0"/>
          <w:sz w:val="32"/>
          <w:szCs w:val="32"/>
          <w:lang w:eastAsia="zh-CN"/>
        </w:rPr>
        <w:t>年内的，由县财政局审批；出租期限超过</w:t>
      </w:r>
      <w:r>
        <w:rPr>
          <w:rFonts w:hint="default" w:ascii="Times New Roman" w:hAnsi="Times New Roman" w:eastAsia="方正仿宋_GBK" w:cs="Times New Roman"/>
          <w:spacing w:val="0"/>
          <w:sz w:val="32"/>
          <w:szCs w:val="32"/>
          <w:lang w:val="en-US" w:eastAsia="zh-CN"/>
        </w:rPr>
        <w:t>3</w:t>
      </w:r>
      <w:r>
        <w:rPr>
          <w:rFonts w:hint="default" w:ascii="Times New Roman" w:hAnsi="Times New Roman" w:eastAsia="方正仿宋_GBK" w:cs="Times New Roman"/>
          <w:spacing w:val="0"/>
          <w:sz w:val="32"/>
          <w:szCs w:val="32"/>
          <w:lang w:eastAsia="zh-CN"/>
        </w:rPr>
        <w:t>年的报县政府审批。行政事业单位资产出借一律报县政府审批。</w:t>
      </w:r>
    </w:p>
    <w:p w14:paraId="32149A9E">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我县闲置校舍的</w:t>
      </w:r>
      <w:r>
        <w:rPr>
          <w:rFonts w:hint="default" w:ascii="Times New Roman" w:hAnsi="Times New Roman" w:eastAsia="方正仿宋_GBK" w:cs="Times New Roman"/>
          <w:spacing w:val="0"/>
          <w:sz w:val="32"/>
          <w:szCs w:val="32"/>
          <w:lang w:eastAsia="zh-CN"/>
        </w:rPr>
        <w:t>出租盘活工作由县教育局负责</w:t>
      </w:r>
      <w:r>
        <w:rPr>
          <w:rFonts w:hint="default" w:ascii="Times New Roman" w:hAnsi="Times New Roman" w:eastAsia="方正仿宋_GBK" w:cs="Times New Roman"/>
          <w:spacing w:val="0"/>
          <w:sz w:val="32"/>
          <w:szCs w:val="32"/>
        </w:rPr>
        <w:t>，按照《大埔县人民政府办公室关于印发大埔县闲置校园校舍管理和处置办法的通知》</w:t>
      </w:r>
      <w:r>
        <w:rPr>
          <w:rFonts w:hint="default" w:ascii="Times New Roman" w:hAnsi="Times New Roman" w:eastAsia="方正仿宋_GBK" w:cs="Times New Roman"/>
          <w:color w:val="auto"/>
          <w:spacing w:val="0"/>
          <w:sz w:val="32"/>
          <w:szCs w:val="32"/>
        </w:rPr>
        <w:t>（埔府办〔2024〕8号）</w:t>
      </w:r>
      <w:r>
        <w:rPr>
          <w:rFonts w:hint="default" w:ascii="Times New Roman" w:hAnsi="Times New Roman" w:eastAsia="方正仿宋_GBK" w:cs="Times New Roman"/>
          <w:spacing w:val="0"/>
          <w:sz w:val="32"/>
          <w:szCs w:val="32"/>
          <w:lang w:eastAsia="zh-CN"/>
        </w:rPr>
        <w:t>文执行，应每半年向县财政局报备</w:t>
      </w:r>
      <w:r>
        <w:rPr>
          <w:rFonts w:hint="default" w:ascii="Times New Roman" w:hAnsi="Times New Roman" w:eastAsia="方正仿宋_GBK" w:cs="Times New Roman"/>
          <w:spacing w:val="0"/>
          <w:sz w:val="32"/>
          <w:szCs w:val="32"/>
        </w:rPr>
        <w:t>。</w:t>
      </w:r>
    </w:p>
    <w:p w14:paraId="5A271D54">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 xml:space="preserve"> 我县公有房屋（包括直管公房和公共租赁住房）</w:t>
      </w:r>
      <w:r>
        <w:rPr>
          <w:rFonts w:hint="default" w:ascii="Times New Roman" w:hAnsi="Times New Roman" w:eastAsia="方正仿宋_GBK" w:cs="Times New Roman"/>
          <w:spacing w:val="0"/>
          <w:sz w:val="32"/>
          <w:szCs w:val="32"/>
          <w:lang w:eastAsia="zh-CN"/>
        </w:rPr>
        <w:t>的出租由县公有房屋和保障性住房服务中心负责</w:t>
      </w:r>
      <w:r>
        <w:rPr>
          <w:rFonts w:hint="default" w:ascii="Times New Roman" w:hAnsi="Times New Roman" w:eastAsia="方正仿宋_GBK" w:cs="Times New Roman"/>
          <w:spacing w:val="0"/>
          <w:sz w:val="32"/>
          <w:szCs w:val="32"/>
        </w:rPr>
        <w:t>，按照《关于修订</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大埔县公有房屋和保障性住房服务中心公有房屋管理规定</w:t>
      </w:r>
      <w:r>
        <w:rPr>
          <w:rFonts w:hint="eastAsia" w:ascii="Times New Roman" w:hAnsi="Times New Roman" w:eastAsia="方正仿宋_GBK" w:cs="Times New Roman"/>
          <w:spacing w:val="0"/>
          <w:sz w:val="32"/>
          <w:szCs w:val="32"/>
          <w:lang w:eastAsia="zh-CN"/>
        </w:rPr>
        <w:t>〉的通知》</w:t>
      </w:r>
      <w:r>
        <w:rPr>
          <w:rFonts w:hint="default" w:ascii="Times New Roman" w:hAnsi="Times New Roman" w:eastAsia="方正仿宋_GBK" w:cs="Times New Roman"/>
          <w:color w:val="auto"/>
          <w:spacing w:val="0"/>
          <w:sz w:val="32"/>
          <w:szCs w:val="32"/>
        </w:rPr>
        <w:t>（埔房字〔2023〕4号）</w:t>
      </w:r>
      <w:r>
        <w:rPr>
          <w:rFonts w:hint="default" w:ascii="Times New Roman" w:hAnsi="Times New Roman" w:eastAsia="方正仿宋_GBK" w:cs="Times New Roman"/>
          <w:color w:val="auto"/>
          <w:spacing w:val="0"/>
          <w:sz w:val="32"/>
          <w:szCs w:val="32"/>
          <w:lang w:eastAsia="zh-CN"/>
        </w:rPr>
        <w:t>文</w:t>
      </w:r>
      <w:r>
        <w:rPr>
          <w:rFonts w:hint="default" w:ascii="Times New Roman" w:hAnsi="Times New Roman" w:eastAsia="方正仿宋_GBK" w:cs="Times New Roman"/>
          <w:spacing w:val="0"/>
          <w:sz w:val="32"/>
          <w:szCs w:val="32"/>
          <w:lang w:eastAsia="zh-CN"/>
        </w:rPr>
        <w:t>执行，应每半年向县财政局报备</w:t>
      </w:r>
      <w:r>
        <w:rPr>
          <w:rFonts w:hint="default" w:ascii="Times New Roman" w:hAnsi="Times New Roman" w:eastAsia="方正仿宋_GBK" w:cs="Times New Roman"/>
          <w:spacing w:val="0"/>
          <w:sz w:val="32"/>
          <w:szCs w:val="32"/>
        </w:rPr>
        <w:t>。</w:t>
      </w:r>
    </w:p>
    <w:p w14:paraId="6243710C">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ascii="方正仿宋_GBK" w:hAnsi="方正仿宋_GBK" w:eastAsia="方正仿宋_GBK" w:cs="方正仿宋_GBK"/>
          <w:spacing w:val="0"/>
          <w:sz w:val="32"/>
          <w:szCs w:val="32"/>
        </w:rPr>
      </w:pPr>
      <w:r>
        <w:rPr>
          <w:rFonts w:hint="eastAsia" w:ascii="方正楷体_GBK" w:hAnsi="方正楷体_GBK" w:eastAsia="方正楷体_GBK" w:cs="方正楷体_GBK"/>
          <w:spacing w:val="0"/>
          <w:sz w:val="32"/>
          <w:szCs w:val="32"/>
        </w:rPr>
        <w:t>第十</w:t>
      </w:r>
      <w:r>
        <w:rPr>
          <w:rFonts w:hint="eastAsia" w:ascii="方正楷体_GBK" w:hAnsi="方正楷体_GBK" w:eastAsia="方正楷体_GBK" w:cs="方正楷体_GBK"/>
          <w:spacing w:val="0"/>
          <w:sz w:val="32"/>
          <w:szCs w:val="32"/>
          <w:lang w:eastAsia="zh-CN"/>
        </w:rPr>
        <w:t>三</w:t>
      </w:r>
      <w:r>
        <w:rPr>
          <w:rFonts w:hint="eastAsia" w:ascii="方正楷体_GBK" w:hAnsi="方正楷体_GBK" w:eastAsia="方正楷体_GBK" w:cs="方正楷体_GBK"/>
          <w:spacing w:val="0"/>
          <w:sz w:val="32"/>
          <w:szCs w:val="32"/>
        </w:rPr>
        <w:t>条</w:t>
      </w:r>
      <w:r>
        <w:rPr>
          <w:rFonts w:hint="eastAsia" w:ascii="方正仿宋_GBK" w:hAnsi="方正仿宋_GBK" w:eastAsia="方正仿宋_GBK" w:cs="方正仿宋_GBK"/>
          <w:spacing w:val="0"/>
          <w:sz w:val="32"/>
          <w:szCs w:val="32"/>
          <w:lang w:eastAsia="zh-CN"/>
        </w:rPr>
        <w:t xml:space="preserve"> </w:t>
      </w:r>
      <w:r>
        <w:rPr>
          <w:rFonts w:hint="eastAsia" w:ascii="方正仿宋_GBK" w:hAnsi="方正仿宋_GBK" w:eastAsia="方正仿宋_GBK" w:cs="方正仿宋_GBK"/>
          <w:spacing w:val="0"/>
          <w:sz w:val="32"/>
          <w:szCs w:val="32"/>
        </w:rPr>
        <w:t>行政单位国有资产应当用于本单位履行职能需要，事业单位国有资产应当用于保障事业发展、提供公共服务。</w:t>
      </w:r>
    </w:p>
    <w:p w14:paraId="082BD70E">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各部门及其所属单位接受捐赠的资产，应当按照捐赠约定的 用途使用。捐赠人意愿不明确或者没有约定用途的，应当统筹安 排使用。</w:t>
      </w:r>
    </w:p>
    <w:p w14:paraId="15DC8C10">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ascii="方正仿宋_GBK" w:hAnsi="方正仿宋_GBK" w:eastAsia="方正仿宋_GBK" w:cs="方正仿宋_GBK"/>
          <w:spacing w:val="0"/>
          <w:sz w:val="32"/>
          <w:szCs w:val="32"/>
        </w:rPr>
      </w:pPr>
      <w:r>
        <w:rPr>
          <w:rFonts w:hint="eastAsia" w:ascii="方正楷体_GBK" w:hAnsi="方正楷体_GBK" w:eastAsia="方正楷体_GBK" w:cs="方正楷体_GBK"/>
          <w:spacing w:val="0"/>
          <w:sz w:val="32"/>
          <w:szCs w:val="32"/>
        </w:rPr>
        <w:t>第十</w:t>
      </w:r>
      <w:r>
        <w:rPr>
          <w:rFonts w:hint="eastAsia" w:ascii="方正楷体_GBK" w:hAnsi="方正楷体_GBK" w:eastAsia="方正楷体_GBK" w:cs="方正楷体_GBK"/>
          <w:spacing w:val="0"/>
          <w:sz w:val="32"/>
          <w:szCs w:val="32"/>
          <w:lang w:eastAsia="zh-CN"/>
        </w:rPr>
        <w:t>四</w:t>
      </w:r>
      <w:r>
        <w:rPr>
          <w:rFonts w:hint="eastAsia" w:ascii="方正楷体_GBK" w:hAnsi="方正楷体_GBK" w:eastAsia="方正楷体_GBK" w:cs="方正楷体_GBK"/>
          <w:spacing w:val="0"/>
          <w:sz w:val="32"/>
          <w:szCs w:val="32"/>
        </w:rPr>
        <w:t>条</w:t>
      </w:r>
      <w:r>
        <w:rPr>
          <w:rFonts w:hint="eastAsia" w:ascii="方正仿宋_GBK" w:hAnsi="方正仿宋_GBK" w:eastAsia="方正仿宋_GBK" w:cs="方正仿宋_GBK"/>
          <w:spacing w:val="0"/>
          <w:sz w:val="32"/>
          <w:szCs w:val="32"/>
          <w:lang w:eastAsia="zh-CN"/>
        </w:rPr>
        <w:t xml:space="preserve"> </w:t>
      </w:r>
      <w:r>
        <w:rPr>
          <w:rFonts w:hint="eastAsia" w:ascii="方正仿宋_GBK" w:hAnsi="方正仿宋_GBK" w:eastAsia="方正仿宋_GBK" w:cs="方正仿宋_GBK"/>
          <w:spacing w:val="0"/>
          <w:sz w:val="32"/>
          <w:szCs w:val="32"/>
        </w:rPr>
        <w:t>各部门及其所属单位应当加强对本单位固定资产、在建工程、流动资产、无形资产等各类国有资产的管理</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明确资产使用人和管理人的岗位责任，规范使用流程，加强产权保护，推进相关资产安全有效使用。</w:t>
      </w:r>
    </w:p>
    <w:p w14:paraId="48834CE1">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资产使用人、管理人应当履行岗位责任，妥善保管、合理使 用资产，充分发挥资产效能。资产需要维修、保养、调剂、更新、报废的，资产使用人、管理人应当及时提出。资产使用人、管理人发生变化的，应当及时办理资产交接手续。</w:t>
      </w:r>
    </w:p>
    <w:p w14:paraId="12ED87DB">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hint="eastAsia" w:ascii="方正仿宋_GBK" w:hAnsi="方正仿宋_GBK" w:eastAsia="方正仿宋_GBK" w:cs="方正仿宋_GBK"/>
          <w:spacing w:val="0"/>
          <w:sz w:val="32"/>
          <w:szCs w:val="32"/>
        </w:rPr>
      </w:pPr>
      <w:r>
        <w:rPr>
          <w:rFonts w:hint="eastAsia" w:ascii="方正楷体_GBK" w:hAnsi="方正楷体_GBK" w:eastAsia="方正楷体_GBK" w:cs="方正楷体_GBK"/>
          <w:spacing w:val="0"/>
          <w:sz w:val="32"/>
          <w:szCs w:val="32"/>
        </w:rPr>
        <w:t>第十</w:t>
      </w:r>
      <w:r>
        <w:rPr>
          <w:rFonts w:hint="eastAsia" w:ascii="方正楷体_GBK" w:hAnsi="方正楷体_GBK" w:eastAsia="方正楷体_GBK" w:cs="方正楷体_GBK"/>
          <w:spacing w:val="0"/>
          <w:sz w:val="32"/>
          <w:szCs w:val="32"/>
          <w:lang w:eastAsia="zh-CN"/>
        </w:rPr>
        <w:t>五</w:t>
      </w:r>
      <w:r>
        <w:rPr>
          <w:rFonts w:hint="eastAsia" w:ascii="方正楷体_GBK" w:hAnsi="方正楷体_GBK" w:eastAsia="方正楷体_GBK" w:cs="方正楷体_GBK"/>
          <w:spacing w:val="0"/>
          <w:sz w:val="32"/>
          <w:szCs w:val="32"/>
        </w:rPr>
        <w:t>条</w:t>
      </w:r>
      <w:r>
        <w:rPr>
          <w:rFonts w:hint="eastAsia" w:ascii="方正仿宋_GBK" w:hAnsi="方正仿宋_GBK" w:eastAsia="方正仿宋_GBK" w:cs="方正仿宋_GBK"/>
          <w:spacing w:val="0"/>
          <w:sz w:val="32"/>
          <w:szCs w:val="32"/>
          <w:lang w:eastAsia="zh-CN"/>
        </w:rPr>
        <w:t xml:space="preserve"> </w:t>
      </w:r>
      <w:r>
        <w:rPr>
          <w:rFonts w:hint="eastAsia" w:ascii="方正仿宋_GBK" w:hAnsi="方正仿宋_GBK" w:eastAsia="方正仿宋_GBK" w:cs="方正仿宋_GBK"/>
          <w:spacing w:val="0"/>
          <w:sz w:val="32"/>
          <w:szCs w:val="32"/>
        </w:rPr>
        <w:t>资产出租应当按照公开、公平、公正原则，采取评估方式确定出租底价后公开招租，因特殊情况无法或不宜公开招租的，经</w:t>
      </w:r>
      <w:r>
        <w:rPr>
          <w:rFonts w:hint="eastAsia" w:ascii="方正仿宋_GBK" w:hAnsi="方正仿宋_GBK" w:eastAsia="方正仿宋_GBK" w:cs="方正仿宋_GBK"/>
          <w:spacing w:val="0"/>
          <w:sz w:val="32"/>
          <w:szCs w:val="32"/>
          <w:lang w:eastAsia="zh-CN"/>
        </w:rPr>
        <w:t>县政府</w:t>
      </w:r>
      <w:r>
        <w:rPr>
          <w:rFonts w:hint="eastAsia" w:ascii="方正仿宋_GBK" w:hAnsi="方正仿宋_GBK" w:eastAsia="方正仿宋_GBK" w:cs="方正仿宋_GBK"/>
          <w:spacing w:val="0"/>
          <w:sz w:val="32"/>
          <w:szCs w:val="32"/>
        </w:rPr>
        <w:t>审批同意可以其他方式出租。</w:t>
      </w:r>
    </w:p>
    <w:p w14:paraId="43C75F86">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ascii="方正仿宋_GBK" w:hAnsi="方正仿宋_GBK" w:eastAsia="方正仿宋_GBK" w:cs="方正仿宋_GBK"/>
          <w:spacing w:val="0"/>
          <w:sz w:val="32"/>
          <w:szCs w:val="32"/>
        </w:rPr>
      </w:pPr>
      <w:r>
        <w:rPr>
          <w:rFonts w:hint="eastAsia" w:ascii="方正楷体_GBK" w:hAnsi="方正楷体_GBK" w:eastAsia="方正楷体_GBK" w:cs="方正楷体_GBK"/>
          <w:spacing w:val="0"/>
          <w:sz w:val="32"/>
          <w:szCs w:val="32"/>
        </w:rPr>
        <w:t>第</w:t>
      </w:r>
      <w:r>
        <w:rPr>
          <w:rFonts w:hint="eastAsia" w:ascii="方正楷体_GBK" w:hAnsi="方正楷体_GBK" w:eastAsia="方正楷体_GBK" w:cs="方正楷体_GBK"/>
          <w:spacing w:val="0"/>
          <w:sz w:val="32"/>
          <w:szCs w:val="32"/>
          <w:lang w:eastAsia="zh-CN"/>
        </w:rPr>
        <w:t>十六</w:t>
      </w:r>
      <w:r>
        <w:rPr>
          <w:rFonts w:hint="eastAsia" w:ascii="方正楷体_GBK" w:hAnsi="方正楷体_GBK" w:eastAsia="方正楷体_GBK" w:cs="方正楷体_GBK"/>
          <w:spacing w:val="0"/>
          <w:sz w:val="32"/>
          <w:szCs w:val="32"/>
        </w:rPr>
        <w:t>条</w:t>
      </w:r>
      <w:r>
        <w:rPr>
          <w:rFonts w:hint="eastAsia" w:ascii="方正仿宋_GBK" w:hAnsi="方正仿宋_GBK" w:eastAsia="方正仿宋_GBK" w:cs="方正仿宋_GBK"/>
          <w:spacing w:val="0"/>
          <w:sz w:val="32"/>
          <w:szCs w:val="32"/>
          <w:lang w:eastAsia="zh-CN"/>
        </w:rPr>
        <w:t xml:space="preserve"> </w:t>
      </w:r>
      <w:r>
        <w:rPr>
          <w:rFonts w:hint="eastAsia" w:ascii="方正仿宋_GBK" w:hAnsi="方正仿宋_GBK" w:eastAsia="方正仿宋_GBK" w:cs="方正仿宋_GBK"/>
          <w:spacing w:val="0"/>
          <w:sz w:val="32"/>
          <w:szCs w:val="32"/>
        </w:rPr>
        <w:t>除法律另有规定外，行政单位不得以任何形式将国有资产用于对外投资或者设立营利性组织。</w:t>
      </w:r>
    </w:p>
    <w:p w14:paraId="1B913E43">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事业单位利用国有资产对外投资</w:t>
      </w:r>
      <w:r>
        <w:rPr>
          <w:rFonts w:hint="eastAsia" w:ascii="方正仿宋_GBK" w:hAnsi="方正仿宋_GBK" w:eastAsia="方正仿宋_GBK" w:cs="方正仿宋_GBK"/>
          <w:color w:val="FF0000"/>
          <w:spacing w:val="0"/>
          <w:sz w:val="32"/>
          <w:szCs w:val="32"/>
          <w:lang w:eastAsia="zh-CN"/>
        </w:rPr>
        <w:t>，</w:t>
      </w:r>
      <w:r>
        <w:rPr>
          <w:rFonts w:hint="eastAsia" w:ascii="方正仿宋_GBK" w:hAnsi="方正仿宋_GBK" w:eastAsia="方正仿宋_GBK" w:cs="方正仿宋_GBK"/>
          <w:spacing w:val="0"/>
          <w:sz w:val="32"/>
          <w:szCs w:val="32"/>
        </w:rPr>
        <w:t>应当有利于事业发展和实 现国有资产保值增值，符合国家有关规定，经可行性研究和集体 决策，按照规定权限和程序进行。事业单位应当明确对外投资形 成的股权及其相关权益管理责任，按照规定将对外投资形成的股 权纳入经营性国有资产集中统一监管体系。</w:t>
      </w:r>
    </w:p>
    <w:p w14:paraId="25AA9E5F">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ascii="方正仿宋_GBK" w:hAnsi="方正仿宋_GBK" w:eastAsia="方正仿宋_GBK" w:cs="方正仿宋_GBK"/>
          <w:spacing w:val="0"/>
          <w:sz w:val="32"/>
          <w:szCs w:val="32"/>
        </w:rPr>
      </w:pPr>
      <w:r>
        <w:rPr>
          <w:rFonts w:hint="eastAsia" w:ascii="方正楷体_GBK" w:hAnsi="方正楷体_GBK" w:eastAsia="方正楷体_GBK" w:cs="方正楷体_GBK"/>
          <w:spacing w:val="0"/>
          <w:sz w:val="32"/>
          <w:szCs w:val="32"/>
        </w:rPr>
        <w:t>第十</w:t>
      </w:r>
      <w:r>
        <w:rPr>
          <w:rFonts w:hint="eastAsia" w:ascii="方正楷体_GBK" w:hAnsi="方正楷体_GBK" w:eastAsia="方正楷体_GBK" w:cs="方正楷体_GBK"/>
          <w:spacing w:val="0"/>
          <w:sz w:val="32"/>
          <w:szCs w:val="32"/>
          <w:lang w:eastAsia="zh-CN"/>
        </w:rPr>
        <w:t>七</w:t>
      </w:r>
      <w:r>
        <w:rPr>
          <w:rFonts w:hint="eastAsia" w:ascii="方正楷体_GBK" w:hAnsi="方正楷体_GBK" w:eastAsia="方正楷体_GBK" w:cs="方正楷体_GBK"/>
          <w:spacing w:val="0"/>
          <w:sz w:val="32"/>
          <w:szCs w:val="32"/>
        </w:rPr>
        <w:t>条</w:t>
      </w:r>
      <w:r>
        <w:rPr>
          <w:rFonts w:hint="eastAsia" w:ascii="方正仿宋_GBK" w:hAnsi="方正仿宋_GBK" w:eastAsia="方正仿宋_GBK" w:cs="方正仿宋_GBK"/>
          <w:spacing w:val="0"/>
          <w:sz w:val="32"/>
          <w:szCs w:val="32"/>
          <w:lang w:eastAsia="zh-CN"/>
        </w:rPr>
        <w:t xml:space="preserve"> </w:t>
      </w:r>
      <w:r>
        <w:rPr>
          <w:rFonts w:hint="eastAsia" w:ascii="方正仿宋_GBK" w:hAnsi="方正仿宋_GBK" w:eastAsia="方正仿宋_GBK" w:cs="方正仿宋_GBK"/>
          <w:spacing w:val="0"/>
          <w:sz w:val="32"/>
          <w:szCs w:val="32"/>
          <w:highlight w:val="none"/>
        </w:rPr>
        <w:t>县</w:t>
      </w:r>
      <w:r>
        <w:rPr>
          <w:rFonts w:hint="eastAsia" w:ascii="方正仿宋_GBK" w:hAnsi="方正仿宋_GBK" w:eastAsia="方正仿宋_GBK" w:cs="方正仿宋_GBK"/>
          <w:spacing w:val="0"/>
          <w:sz w:val="32"/>
          <w:szCs w:val="32"/>
          <w:highlight w:val="none"/>
          <w:lang w:eastAsia="zh-CN"/>
        </w:rPr>
        <w:t>级以上</w:t>
      </w:r>
      <w:r>
        <w:rPr>
          <w:rFonts w:hint="eastAsia" w:ascii="方正仿宋_GBK" w:hAnsi="方正仿宋_GBK" w:eastAsia="方正仿宋_GBK" w:cs="方正仿宋_GBK"/>
          <w:spacing w:val="0"/>
          <w:sz w:val="32"/>
          <w:szCs w:val="32"/>
          <w:highlight w:val="none"/>
        </w:rPr>
        <w:t>人民政府</w:t>
      </w:r>
      <w:r>
        <w:rPr>
          <w:rFonts w:hint="eastAsia" w:ascii="方正仿宋_GBK" w:hAnsi="方正仿宋_GBK" w:eastAsia="方正仿宋_GBK" w:cs="方正仿宋_GBK"/>
          <w:spacing w:val="0"/>
          <w:sz w:val="32"/>
          <w:szCs w:val="32"/>
        </w:rPr>
        <w:t>及其有关部门应当建立健全国有资产共享共用机制，采取措施引导和鼓励国有资产共享共用</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统筹规划有效推进国有资产共享共用工作。</w:t>
      </w:r>
    </w:p>
    <w:p w14:paraId="0AEFA005">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hint="eastAsia" w:ascii="方正仿宋_GBK" w:hAnsi="方正仿宋_GBK" w:eastAsia="方正仿宋_GBK" w:cs="方正仿宋_GBK"/>
          <w:spacing w:val="0"/>
          <w:sz w:val="32"/>
          <w:szCs w:val="32"/>
        </w:rPr>
      </w:pPr>
      <w:r>
        <w:rPr>
          <w:rFonts w:hint="eastAsia" w:ascii="方正楷体_GBK" w:hAnsi="方正楷体_GBK" w:eastAsia="方正楷体_GBK" w:cs="方正楷体_GBK"/>
          <w:spacing w:val="0"/>
          <w:sz w:val="32"/>
          <w:szCs w:val="32"/>
        </w:rPr>
        <w:t>第</w:t>
      </w:r>
      <w:r>
        <w:rPr>
          <w:rFonts w:hint="eastAsia" w:ascii="方正楷体_GBK" w:hAnsi="方正楷体_GBK" w:eastAsia="方正楷体_GBK" w:cs="方正楷体_GBK"/>
          <w:spacing w:val="0"/>
          <w:sz w:val="32"/>
          <w:szCs w:val="32"/>
          <w:lang w:eastAsia="zh-CN"/>
        </w:rPr>
        <w:t>十八</w:t>
      </w:r>
      <w:r>
        <w:rPr>
          <w:rFonts w:hint="eastAsia" w:ascii="方正楷体_GBK" w:hAnsi="方正楷体_GBK" w:eastAsia="方正楷体_GBK" w:cs="方正楷体_GBK"/>
          <w:spacing w:val="0"/>
          <w:sz w:val="32"/>
          <w:szCs w:val="32"/>
        </w:rPr>
        <w:t>条</w:t>
      </w:r>
      <w:r>
        <w:rPr>
          <w:rFonts w:hint="eastAsia" w:ascii="方正仿宋_GBK" w:hAnsi="方正仿宋_GBK" w:eastAsia="方正仿宋_GBK" w:cs="方正仿宋_GBK"/>
          <w:spacing w:val="0"/>
          <w:sz w:val="32"/>
          <w:szCs w:val="32"/>
          <w:lang w:eastAsia="zh-CN"/>
        </w:rPr>
        <w:t xml:space="preserve"> </w:t>
      </w:r>
      <w:r>
        <w:rPr>
          <w:rFonts w:hint="eastAsia" w:ascii="方正仿宋_GBK" w:hAnsi="方正仿宋_GBK" w:eastAsia="方正仿宋_GBK" w:cs="方正仿宋_GBK"/>
          <w:spacing w:val="0"/>
          <w:sz w:val="32"/>
          <w:szCs w:val="32"/>
        </w:rPr>
        <w:t>各部门及其所属单位</w:t>
      </w:r>
      <w:r>
        <w:rPr>
          <w:rFonts w:hint="eastAsia" w:ascii="方正仿宋_GBK" w:hAnsi="方正仿宋_GBK" w:eastAsia="方正仿宋_GBK" w:cs="方正仿宋_GBK"/>
          <w:spacing w:val="0"/>
          <w:sz w:val="32"/>
          <w:szCs w:val="32"/>
          <w:lang w:eastAsia="zh-CN"/>
        </w:rPr>
        <w:t>每年应进行一次全面清查盘点，确保账账相符、账实相符。如发现</w:t>
      </w:r>
      <w:r>
        <w:rPr>
          <w:rFonts w:hint="eastAsia" w:ascii="方正仿宋_GBK" w:hAnsi="方正仿宋_GBK" w:eastAsia="方正仿宋_GBK" w:cs="方正仿宋_GBK"/>
          <w:spacing w:val="0"/>
          <w:sz w:val="32"/>
          <w:szCs w:val="32"/>
        </w:rPr>
        <w:t>超标配置、低效运转或者长期闲置的行政事业性国有资产，</w:t>
      </w:r>
      <w:r>
        <w:rPr>
          <w:rFonts w:hint="eastAsia" w:ascii="方正仿宋_GBK" w:hAnsi="方正仿宋_GBK" w:eastAsia="方正仿宋_GBK" w:cs="方正仿宋_GBK"/>
          <w:spacing w:val="0"/>
          <w:sz w:val="32"/>
          <w:szCs w:val="32"/>
          <w:lang w:eastAsia="zh-CN"/>
        </w:rPr>
        <w:t>应及时报县财政局，</w:t>
      </w:r>
      <w:r>
        <w:rPr>
          <w:rFonts w:hint="eastAsia" w:ascii="方正仿宋_GBK" w:hAnsi="方正仿宋_GBK" w:eastAsia="方正仿宋_GBK" w:cs="方正仿宋_GBK"/>
          <w:spacing w:val="0"/>
          <w:sz w:val="32"/>
          <w:szCs w:val="32"/>
        </w:rPr>
        <w:t>采取优化在用、调剂使用、出租出借</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市场化处置、共享共用资产集中运营等方式进行资产盘活。</w:t>
      </w:r>
    </w:p>
    <w:p w14:paraId="6C5F19FB">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hint="eastAsia" w:ascii="方正仿宋_GBK" w:hAnsi="方正仿宋_GBK" w:eastAsia="方正仿宋_GBK" w:cs="方正仿宋_GBK"/>
          <w:spacing w:val="0"/>
          <w:sz w:val="32"/>
          <w:szCs w:val="32"/>
        </w:rPr>
      </w:pPr>
    </w:p>
    <w:p w14:paraId="7F2520FE">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center"/>
        <w:textAlignment w:val="baseline"/>
        <w:rPr>
          <w:rFonts w:hint="eastAsia" w:ascii="方正仿宋_GBK" w:hAnsi="方正仿宋_GBK" w:eastAsia="方正仿宋_GBK" w:cs="方正仿宋_GBK"/>
          <w:spacing w:val="0"/>
          <w:sz w:val="32"/>
          <w:szCs w:val="32"/>
        </w:rPr>
      </w:pPr>
      <w:r>
        <w:rPr>
          <w:rFonts w:hint="eastAsia" w:ascii="方正黑体_GBK" w:hAnsi="方正黑体_GBK" w:eastAsia="方正黑体_GBK" w:cs="方正黑体_GBK"/>
          <w:spacing w:val="0"/>
          <w:sz w:val="32"/>
          <w:szCs w:val="32"/>
        </w:rPr>
        <w:t>第</w:t>
      </w:r>
      <w:r>
        <w:rPr>
          <w:rFonts w:hint="eastAsia" w:ascii="方正黑体_GBK" w:hAnsi="方正黑体_GBK" w:eastAsia="方正黑体_GBK" w:cs="方正黑体_GBK"/>
          <w:spacing w:val="0"/>
          <w:sz w:val="32"/>
          <w:szCs w:val="32"/>
          <w:lang w:eastAsia="zh-CN"/>
        </w:rPr>
        <w:t>五</w:t>
      </w:r>
      <w:r>
        <w:rPr>
          <w:rFonts w:hint="eastAsia" w:ascii="方正黑体_GBK" w:hAnsi="方正黑体_GBK" w:eastAsia="方正黑体_GBK" w:cs="方正黑体_GBK"/>
          <w:spacing w:val="0"/>
          <w:sz w:val="32"/>
          <w:szCs w:val="32"/>
        </w:rPr>
        <w:t>章</w:t>
      </w:r>
      <w:r>
        <w:rPr>
          <w:rFonts w:hint="eastAsia" w:ascii="方正黑体_GBK" w:hAnsi="方正黑体_GBK" w:eastAsia="方正黑体_GBK" w:cs="方正黑体_GBK"/>
          <w:spacing w:val="0"/>
          <w:sz w:val="32"/>
          <w:szCs w:val="32"/>
          <w:lang w:eastAsia="zh-CN"/>
        </w:rPr>
        <w:t xml:space="preserve">  </w:t>
      </w:r>
      <w:r>
        <w:rPr>
          <w:rFonts w:hint="eastAsia" w:ascii="方正黑体_GBK" w:hAnsi="方正黑体_GBK" w:eastAsia="方正黑体_GBK" w:cs="方正黑体_GBK"/>
          <w:spacing w:val="0"/>
          <w:sz w:val="32"/>
          <w:szCs w:val="32"/>
        </w:rPr>
        <w:t>资产</w:t>
      </w:r>
      <w:r>
        <w:rPr>
          <w:rFonts w:hint="eastAsia" w:ascii="方正黑体_GBK" w:hAnsi="方正黑体_GBK" w:eastAsia="方正黑体_GBK" w:cs="方正黑体_GBK"/>
          <w:spacing w:val="0"/>
          <w:sz w:val="32"/>
          <w:szCs w:val="32"/>
          <w:lang w:eastAsia="zh-CN"/>
        </w:rPr>
        <w:t>处置</w:t>
      </w:r>
    </w:p>
    <w:p w14:paraId="44A96673">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ascii="方正仿宋_GBK" w:hAnsi="方正仿宋_GBK" w:eastAsia="方正仿宋_GBK" w:cs="方正仿宋_GBK"/>
          <w:spacing w:val="0"/>
          <w:sz w:val="32"/>
          <w:szCs w:val="32"/>
        </w:rPr>
      </w:pPr>
      <w:r>
        <w:rPr>
          <w:rFonts w:hint="eastAsia" w:ascii="方正楷体_GBK" w:hAnsi="方正楷体_GBK" w:eastAsia="方正楷体_GBK" w:cs="方正楷体_GBK"/>
          <w:spacing w:val="0"/>
          <w:sz w:val="32"/>
          <w:szCs w:val="32"/>
        </w:rPr>
        <w:t>第</w:t>
      </w:r>
      <w:r>
        <w:rPr>
          <w:rFonts w:hint="eastAsia" w:ascii="方正楷体_GBK" w:hAnsi="方正楷体_GBK" w:eastAsia="方正楷体_GBK" w:cs="方正楷体_GBK"/>
          <w:spacing w:val="0"/>
          <w:sz w:val="32"/>
          <w:szCs w:val="32"/>
          <w:lang w:eastAsia="zh-CN"/>
        </w:rPr>
        <w:t>十九</w:t>
      </w:r>
      <w:r>
        <w:rPr>
          <w:rFonts w:hint="eastAsia" w:ascii="方正楷体_GBK" w:hAnsi="方正楷体_GBK" w:eastAsia="方正楷体_GBK" w:cs="方正楷体_GBK"/>
          <w:spacing w:val="0"/>
          <w:sz w:val="32"/>
          <w:szCs w:val="32"/>
        </w:rPr>
        <w:t>条</w:t>
      </w:r>
      <w:r>
        <w:rPr>
          <w:rFonts w:hint="eastAsia" w:ascii="方正仿宋_GBK" w:hAnsi="方正仿宋_GBK" w:eastAsia="方正仿宋_GBK" w:cs="方正仿宋_GBK"/>
          <w:spacing w:val="0"/>
          <w:sz w:val="32"/>
          <w:szCs w:val="32"/>
          <w:lang w:eastAsia="zh-CN"/>
        </w:rPr>
        <w:t xml:space="preserve"> </w:t>
      </w:r>
      <w:r>
        <w:rPr>
          <w:rFonts w:hint="eastAsia" w:ascii="方正仿宋_GBK" w:hAnsi="方正仿宋_GBK" w:eastAsia="方正仿宋_GBK" w:cs="方正仿宋_GBK"/>
          <w:spacing w:val="0"/>
          <w:sz w:val="32"/>
          <w:szCs w:val="32"/>
        </w:rPr>
        <w:t>行政事业性国有资产处置方式包括无偿划转</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对外捐赠、转让、置换、报废、损失核销等。</w:t>
      </w:r>
    </w:p>
    <w:p w14:paraId="0C2D14EF">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ascii="方正仿宋_GBK" w:hAnsi="方正仿宋_GBK" w:eastAsia="方正仿宋_GBK" w:cs="方正仿宋_GBK"/>
          <w:spacing w:val="0"/>
          <w:sz w:val="32"/>
          <w:szCs w:val="32"/>
        </w:rPr>
      </w:pPr>
      <w:r>
        <w:rPr>
          <w:rFonts w:hint="eastAsia" w:ascii="方正楷体_GBK" w:hAnsi="方正楷体_GBK" w:eastAsia="方正楷体_GBK" w:cs="方正楷体_GBK"/>
          <w:spacing w:val="0"/>
          <w:sz w:val="32"/>
          <w:szCs w:val="32"/>
        </w:rPr>
        <w:t>第二十条</w:t>
      </w:r>
      <w:r>
        <w:rPr>
          <w:rFonts w:hint="eastAsia" w:ascii="方正仿宋_GBK" w:hAnsi="方正仿宋_GBK" w:eastAsia="方正仿宋_GBK" w:cs="方正仿宋_GBK"/>
          <w:spacing w:val="0"/>
          <w:sz w:val="32"/>
          <w:szCs w:val="32"/>
          <w:lang w:eastAsia="zh-CN"/>
        </w:rPr>
        <w:t xml:space="preserve"> </w:t>
      </w:r>
      <w:r>
        <w:rPr>
          <w:rFonts w:hint="eastAsia" w:ascii="方正仿宋_GBK" w:hAnsi="方正仿宋_GBK" w:eastAsia="方正仿宋_GBK" w:cs="方正仿宋_GBK"/>
          <w:spacing w:val="0"/>
          <w:sz w:val="32"/>
          <w:szCs w:val="32"/>
        </w:rPr>
        <w:t>符合下列情形的行政事业性国有资产应当予以处置</w:t>
      </w:r>
      <w:r>
        <w:rPr>
          <w:rFonts w:hint="eastAsia" w:ascii="方正仿宋_GBK" w:hAnsi="方正仿宋_GBK" w:eastAsia="方正仿宋_GBK" w:cs="方正仿宋_GBK"/>
          <w:spacing w:val="0"/>
          <w:sz w:val="32"/>
          <w:szCs w:val="32"/>
          <w:lang w:eastAsia="zh-CN"/>
        </w:rPr>
        <w:t>：</w:t>
      </w:r>
    </w:p>
    <w:p w14:paraId="1A40933C">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一</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因技术原因确需淘汰或者无法维修、无维修价值的</w:t>
      </w:r>
      <w:r>
        <w:rPr>
          <w:rFonts w:hint="eastAsia" w:ascii="方正仿宋_GBK" w:hAnsi="方正仿宋_GBK" w:eastAsia="方正仿宋_GBK" w:cs="方正仿宋_GBK"/>
          <w:spacing w:val="0"/>
          <w:sz w:val="32"/>
          <w:szCs w:val="32"/>
          <w:lang w:eastAsia="zh-CN"/>
        </w:rPr>
        <w:t>；</w:t>
      </w:r>
    </w:p>
    <w:p w14:paraId="486A4841">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二</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涉及盘亏等非正常损失的；</w:t>
      </w:r>
    </w:p>
    <w:p w14:paraId="6C840A03">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三</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已超过使用年限且无法满足现有工作需要的；</w:t>
      </w:r>
    </w:p>
    <w:p w14:paraId="24E312CD">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四</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因自然灾害等不可抗力造成毁损、灭失的；</w:t>
      </w:r>
    </w:p>
    <w:p w14:paraId="19CA9F07">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五</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因单位分立、合并、改制、撤销、隶属关系改变或者部分职能、业务调整等而移交的；</w:t>
      </w:r>
    </w:p>
    <w:p w14:paraId="4A62BF7B">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ascii="方正仿宋_GBK" w:hAnsi="方正仿宋_GBK" w:eastAsia="方正仿宋_GBK" w:cs="方正仿宋_GBK"/>
          <w:spacing w:val="0"/>
          <w:sz w:val="32"/>
          <w:szCs w:val="32"/>
          <w:lang w:eastAsia="zh-CN"/>
        </w:rPr>
      </w:pP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六</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发生产权变动的</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不含办公用房等资产权属统一登记</w:t>
      </w:r>
      <w:r>
        <w:rPr>
          <w:rFonts w:hint="eastAsia" w:ascii="方正仿宋_GBK" w:hAnsi="方正仿宋_GBK" w:eastAsia="方正仿宋_GBK" w:cs="方正仿宋_GBK"/>
          <w:spacing w:val="0"/>
          <w:sz w:val="32"/>
          <w:szCs w:val="32"/>
          <w:lang w:eastAsia="zh-CN"/>
        </w:rPr>
        <w:t>）；</w:t>
      </w:r>
    </w:p>
    <w:p w14:paraId="02F13F2A">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七</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依照国家和省有关规定需要处置的其他情形。</w:t>
      </w:r>
    </w:p>
    <w:p w14:paraId="3F03357E">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hint="eastAsia" w:ascii="方正仿宋_GBK" w:hAnsi="方正仿宋_GBK" w:eastAsia="方正仿宋_GBK" w:cs="方正仿宋_GBK"/>
          <w:spacing w:val="0"/>
          <w:sz w:val="32"/>
          <w:szCs w:val="32"/>
        </w:rPr>
      </w:pPr>
      <w:r>
        <w:rPr>
          <w:rFonts w:hint="eastAsia" w:ascii="方正楷体_GBK" w:hAnsi="方正楷体_GBK" w:eastAsia="方正楷体_GBK" w:cs="方正楷体_GBK"/>
          <w:spacing w:val="0"/>
          <w:sz w:val="32"/>
          <w:szCs w:val="32"/>
        </w:rPr>
        <w:t>第二十</w:t>
      </w:r>
      <w:r>
        <w:rPr>
          <w:rFonts w:hint="eastAsia" w:ascii="方正楷体_GBK" w:hAnsi="方正楷体_GBK" w:eastAsia="方正楷体_GBK" w:cs="方正楷体_GBK"/>
          <w:spacing w:val="0"/>
          <w:sz w:val="32"/>
          <w:szCs w:val="32"/>
          <w:lang w:eastAsia="zh-CN"/>
        </w:rPr>
        <w:t>一</w:t>
      </w:r>
      <w:r>
        <w:rPr>
          <w:rFonts w:hint="eastAsia" w:ascii="方正楷体_GBK" w:hAnsi="方正楷体_GBK" w:eastAsia="方正楷体_GBK" w:cs="方正楷体_GBK"/>
          <w:spacing w:val="0"/>
          <w:sz w:val="32"/>
          <w:szCs w:val="32"/>
        </w:rPr>
        <w:t>条</w:t>
      </w:r>
      <w:r>
        <w:rPr>
          <w:rFonts w:hint="eastAsia" w:ascii="方正仿宋_GBK" w:hAnsi="方正仿宋_GBK" w:eastAsia="方正仿宋_GBK" w:cs="方正仿宋_GBK"/>
          <w:spacing w:val="0"/>
          <w:sz w:val="32"/>
          <w:szCs w:val="32"/>
          <w:lang w:eastAsia="zh-CN"/>
        </w:rPr>
        <w:t xml:space="preserve"> </w:t>
      </w:r>
      <w:r>
        <w:rPr>
          <w:rFonts w:hint="eastAsia" w:ascii="方正仿宋_GBK" w:hAnsi="方正仿宋_GBK" w:eastAsia="方正仿宋_GBK" w:cs="方正仿宋_GBK"/>
          <w:spacing w:val="0"/>
          <w:sz w:val="32"/>
          <w:szCs w:val="32"/>
        </w:rPr>
        <w:t>行政事业性国有资产处置应当遵循公开、公平</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公正的原则，根据履行职能、事业发展需要和资产使用状况，经集体决策和履行审批程序，依据处置事项批复等相关文件及时处置</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未经批准，任何单位和个人不得擅自处置。</w:t>
      </w:r>
    </w:p>
    <w:p w14:paraId="7CA42E29">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资产处置事项按照以下程序办理：</w:t>
      </w:r>
    </w:p>
    <w:p w14:paraId="3CAC5F58">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（一）申报。</w:t>
      </w:r>
      <w:r>
        <w:rPr>
          <w:rFonts w:hint="default" w:ascii="Times New Roman" w:hAnsi="Times New Roman" w:eastAsia="方正仿宋_GBK" w:cs="Times New Roman"/>
          <w:spacing w:val="0"/>
          <w:sz w:val="32"/>
          <w:szCs w:val="32"/>
        </w:rPr>
        <w:t>申办单位</w:t>
      </w:r>
      <w:r>
        <w:rPr>
          <w:rFonts w:hint="eastAsia" w:ascii="Times New Roman" w:hAnsi="Times New Roman" w:eastAsia="方正仿宋_GBK" w:cs="Times New Roman"/>
          <w:spacing w:val="0"/>
          <w:sz w:val="32"/>
          <w:szCs w:val="32"/>
          <w:lang w:eastAsia="zh-CN"/>
        </w:rPr>
        <w:t>应先</w:t>
      </w:r>
      <w:r>
        <w:rPr>
          <w:rFonts w:hint="default" w:ascii="Times New Roman" w:hAnsi="Times New Roman" w:eastAsia="方正仿宋_GBK" w:cs="Times New Roman"/>
          <w:spacing w:val="0"/>
          <w:sz w:val="32"/>
          <w:szCs w:val="32"/>
        </w:rPr>
        <w:t>在</w:t>
      </w:r>
      <w:r>
        <w:rPr>
          <w:rFonts w:hint="default" w:ascii="Times New Roman" w:hAnsi="Times New Roman" w:eastAsia="方正仿宋_GBK" w:cs="Times New Roman"/>
          <w:spacing w:val="0"/>
          <w:sz w:val="32"/>
          <w:szCs w:val="32"/>
          <w:lang w:eastAsia="zh-CN"/>
        </w:rPr>
        <w:t>广东省行政事业性国有资产管理系统</w:t>
      </w:r>
      <w:r>
        <w:rPr>
          <w:rFonts w:hint="default" w:ascii="Times New Roman" w:hAnsi="Times New Roman" w:eastAsia="方正仿宋_GBK" w:cs="Times New Roman"/>
          <w:spacing w:val="0"/>
          <w:sz w:val="32"/>
          <w:szCs w:val="32"/>
        </w:rPr>
        <w:t>上导出《大埔县行政事业单位国有资产处置审批表》</w:t>
      </w:r>
      <w:r>
        <w:rPr>
          <w:rFonts w:hint="eastAsia" w:ascii="Times New Roman" w:hAnsi="Times New Roman" w:eastAsia="方正仿宋_GBK" w:cs="Times New Roman"/>
          <w:spacing w:val="0"/>
          <w:sz w:val="32"/>
          <w:szCs w:val="32"/>
          <w:lang w:eastAsia="zh-CN"/>
        </w:rPr>
        <w:t>，再</w:t>
      </w:r>
      <w:r>
        <w:rPr>
          <w:rFonts w:hint="default" w:ascii="Times New Roman" w:hAnsi="Times New Roman" w:eastAsia="方正仿宋_GBK" w:cs="Times New Roman"/>
          <w:spacing w:val="0"/>
          <w:sz w:val="32"/>
          <w:szCs w:val="32"/>
        </w:rPr>
        <w:t>按行政事业单位资产管理系统处置审批程序流程操作办理。</w:t>
      </w:r>
    </w:p>
    <w:p w14:paraId="2AC9098A">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应当提交的文件：</w:t>
      </w:r>
    </w:p>
    <w:p w14:paraId="085BB8F6">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1.土地、房</w:t>
      </w:r>
      <w:r>
        <w:rPr>
          <w:rFonts w:hint="eastAsia" w:ascii="Times New Roman" w:hAnsi="Times New Roman" w:eastAsia="方正仿宋_GBK" w:cs="Times New Roman"/>
          <w:spacing w:val="0"/>
          <w:sz w:val="32"/>
          <w:szCs w:val="32"/>
          <w:lang w:eastAsia="zh-CN"/>
        </w:rPr>
        <w:t>屋</w:t>
      </w:r>
      <w:r>
        <w:rPr>
          <w:rFonts w:hint="default" w:ascii="Times New Roman" w:hAnsi="Times New Roman" w:eastAsia="方正仿宋_GBK" w:cs="Times New Roman"/>
          <w:spacing w:val="0"/>
          <w:sz w:val="32"/>
          <w:szCs w:val="32"/>
        </w:rPr>
        <w:t>及构筑物：提供主管部门或政府部门的同意拆除、置换等相关批复文件。</w:t>
      </w:r>
    </w:p>
    <w:p w14:paraId="68CBA1CD">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2.通用设备：提供处置资产明细、资产卡片、会议记录及资产相对应的照片做附件。</w:t>
      </w:r>
    </w:p>
    <w:p w14:paraId="65335F38">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3.专用设备（车辆及大型特殊设备）：提供主管部门同意处置、拍卖、调拨、置换等审批意见及相关文件。车辆需提供机动车检测报告一份、评估报告原件一份、会议记录、申请处置函、机动车行驶证复印件及车辆外观及里程表图片，经同意处置后需提供机动车注销证明书、汽车回收发票、报废汽车回收证明或拍卖相关证明原件或复印件。</w:t>
      </w:r>
    </w:p>
    <w:p w14:paraId="2521C7DF">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（二）审批。主管部门提出审核意见后报县财政局</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待</w:t>
      </w:r>
      <w:r>
        <w:rPr>
          <w:rFonts w:hint="default" w:ascii="Times New Roman" w:hAnsi="Times New Roman" w:eastAsia="方正仿宋_GBK" w:cs="Times New Roman"/>
          <w:spacing w:val="0"/>
          <w:sz w:val="32"/>
          <w:szCs w:val="32"/>
          <w:lang w:eastAsia="zh-CN"/>
        </w:rPr>
        <w:t>县</w:t>
      </w:r>
      <w:r>
        <w:rPr>
          <w:rFonts w:hint="default" w:ascii="Times New Roman" w:hAnsi="Times New Roman" w:eastAsia="方正仿宋_GBK" w:cs="Times New Roman"/>
          <w:spacing w:val="0"/>
          <w:sz w:val="32"/>
          <w:szCs w:val="32"/>
        </w:rPr>
        <w:t>财政局行政事业资产管理工作人员现场核实拍照查看资产实物后，</w:t>
      </w:r>
      <w:r>
        <w:rPr>
          <w:rFonts w:hint="default" w:ascii="Times New Roman" w:hAnsi="Times New Roman" w:eastAsia="方正仿宋_GBK" w:cs="Times New Roman"/>
          <w:spacing w:val="0"/>
          <w:sz w:val="32"/>
          <w:szCs w:val="32"/>
          <w:lang w:eastAsia="zh-CN"/>
        </w:rPr>
        <w:t>按规定</w:t>
      </w:r>
      <w:r>
        <w:rPr>
          <w:rFonts w:hint="default" w:ascii="Times New Roman" w:hAnsi="Times New Roman" w:eastAsia="方正仿宋_GBK" w:cs="Times New Roman"/>
          <w:spacing w:val="0"/>
          <w:sz w:val="32"/>
          <w:szCs w:val="32"/>
        </w:rPr>
        <w:t>审批完成手续。申办单位及时做好资产系统上的处置销账及财务账务处理，做到账实相符。主管部门对资产处置事项的合法性和合理性</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申报材料的真实性和完整性、申报程序的合规性等进行审核</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并按以下权限进行审批：</w:t>
      </w:r>
    </w:p>
    <w:p w14:paraId="67938EF7">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无偿划转</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对外捐赠、转让、置换、报废的资产处置事项，由主管部门初审后报</w:t>
      </w:r>
      <w:r>
        <w:rPr>
          <w:rFonts w:hint="eastAsia" w:ascii="Times New Roman" w:hAnsi="Times New Roman" w:eastAsia="方正仿宋_GBK" w:cs="Times New Roman"/>
          <w:spacing w:val="0"/>
          <w:sz w:val="32"/>
          <w:szCs w:val="32"/>
          <w:lang w:eastAsia="zh-CN"/>
        </w:rPr>
        <w:t>县</w:t>
      </w:r>
      <w:r>
        <w:rPr>
          <w:rFonts w:hint="default" w:ascii="Times New Roman" w:hAnsi="Times New Roman" w:eastAsia="方正仿宋_GBK" w:cs="Times New Roman"/>
          <w:spacing w:val="0"/>
          <w:sz w:val="32"/>
          <w:szCs w:val="32"/>
        </w:rPr>
        <w:t>财政</w:t>
      </w:r>
      <w:r>
        <w:rPr>
          <w:rFonts w:hint="eastAsia" w:ascii="Times New Roman" w:hAnsi="Times New Roman" w:eastAsia="方正仿宋_GBK" w:cs="Times New Roman"/>
          <w:spacing w:val="0"/>
          <w:sz w:val="32"/>
          <w:szCs w:val="32"/>
          <w:lang w:eastAsia="zh-CN"/>
        </w:rPr>
        <w:t>局</w:t>
      </w:r>
      <w:r>
        <w:rPr>
          <w:rFonts w:hint="default" w:ascii="Times New Roman" w:hAnsi="Times New Roman" w:eastAsia="方正仿宋_GBK" w:cs="Times New Roman"/>
          <w:spacing w:val="0"/>
          <w:sz w:val="32"/>
          <w:szCs w:val="32"/>
        </w:rPr>
        <w:t>审核</w:t>
      </w:r>
      <w:r>
        <w:rPr>
          <w:rFonts w:hint="default" w:ascii="Times New Roman" w:hAnsi="Times New Roman" w:eastAsia="方正仿宋_GBK" w:cs="Times New Roman"/>
          <w:spacing w:val="0"/>
          <w:sz w:val="32"/>
          <w:szCs w:val="32"/>
          <w:lang w:eastAsia="zh-CN"/>
        </w:rPr>
        <w:t>。</w:t>
      </w:r>
    </w:p>
    <w:p w14:paraId="0810DEAA">
      <w:pPr>
        <w:keepNext w:val="0"/>
        <w:keepLines w:val="0"/>
        <w:pageBreakBefore w:val="0"/>
        <w:widowControl/>
        <w:kinsoku/>
        <w:wordWrap/>
        <w:overflowPunct/>
        <w:topLinePunct w:val="0"/>
        <w:autoSpaceDE w:val="0"/>
        <w:autoSpaceDN w:val="0"/>
        <w:bidi w:val="0"/>
        <w:adjustRightInd w:val="0"/>
        <w:snapToGrid w:val="0"/>
        <w:spacing w:line="600" w:lineRule="exact"/>
        <w:ind w:firstLine="866" w:firstLineChars="200"/>
        <w:textAlignment w:val="baseline"/>
        <w:rPr>
          <w:rFonts w:hint="eastAsia" w:ascii="方正仿宋_GBK" w:hAnsi="方正仿宋_GBK" w:eastAsia="方正仿宋_GBK" w:cs="方正仿宋_GBK"/>
          <w:spacing w:val="0"/>
          <w:sz w:val="32"/>
          <w:szCs w:val="32"/>
        </w:rPr>
      </w:pPr>
      <w:r>
        <w:rPr>
          <w:rFonts w:hint="default" w:ascii="Times New Roman" w:hAnsi="Times New Roman" w:eastAsia="方正仿宋_GBK" w:cs="Times New Roman"/>
          <w:spacing w:val="0"/>
          <w:sz w:val="32"/>
          <w:szCs w:val="32"/>
          <w:lang w:eastAsia="zh-CN"/>
        </w:rPr>
        <w:t>办公用房经专业机构鉴定属于危房，且无加固改造价值的需拆除的，或不能满足履职需要必须拆除重建的，</w:t>
      </w:r>
      <w:r>
        <w:rPr>
          <w:rFonts w:hint="eastAsia" w:ascii="Times New Roman" w:hAnsi="Times New Roman" w:eastAsia="方正仿宋_GBK" w:cs="Times New Roman"/>
          <w:spacing w:val="0"/>
          <w:sz w:val="32"/>
          <w:szCs w:val="32"/>
          <w:lang w:eastAsia="zh-CN"/>
        </w:rPr>
        <w:t>需提供危房鉴定的报告或评估报告，</w:t>
      </w:r>
      <w:r>
        <w:rPr>
          <w:rFonts w:hint="default" w:ascii="Times New Roman" w:hAnsi="Times New Roman" w:eastAsia="方正仿宋_GBK" w:cs="Times New Roman"/>
          <w:spacing w:val="0"/>
          <w:sz w:val="32"/>
          <w:szCs w:val="32"/>
          <w:lang w:eastAsia="zh-CN"/>
        </w:rPr>
        <w:t>报县政府审批后，办理房产</w:t>
      </w:r>
      <w:r>
        <w:rPr>
          <w:rFonts w:hint="default" w:ascii="Times New Roman" w:hAnsi="Times New Roman" w:eastAsia="方正仿宋_GBK" w:cs="Times New Roman"/>
          <w:spacing w:val="0"/>
          <w:sz w:val="32"/>
          <w:szCs w:val="32"/>
          <w:lang w:val="en-US" w:eastAsia="zh-CN"/>
        </w:rPr>
        <w:t>报废手续。</w:t>
      </w:r>
      <w:r>
        <w:rPr>
          <w:rFonts w:hint="eastAsia" w:ascii="Times New Roman" w:hAnsi="Times New Roman" w:eastAsia="方正仿宋_GBK" w:cs="Times New Roman"/>
          <w:spacing w:val="0"/>
          <w:sz w:val="32"/>
          <w:szCs w:val="32"/>
          <w:lang w:val="en-US" w:eastAsia="zh-CN"/>
        </w:rPr>
        <w:t>大型</w:t>
      </w:r>
      <w:r>
        <w:rPr>
          <w:rFonts w:hint="default" w:ascii="Times New Roman" w:hAnsi="Times New Roman" w:eastAsia="方正仿宋_GBK" w:cs="Times New Roman"/>
          <w:spacing w:val="0"/>
          <w:sz w:val="32"/>
          <w:szCs w:val="32"/>
          <w:lang w:val="en-US" w:eastAsia="zh-CN"/>
        </w:rPr>
        <w:t>设施设备报废及资产损失核销的，由县财政局审核后报县政府</w:t>
      </w:r>
      <w:r>
        <w:rPr>
          <w:rFonts w:hint="eastAsia" w:ascii="方正仿宋_GBK" w:hAnsi="方正仿宋_GBK" w:eastAsia="方正仿宋_GBK" w:cs="方正仿宋_GBK"/>
          <w:spacing w:val="0"/>
          <w:sz w:val="32"/>
          <w:szCs w:val="32"/>
          <w:lang w:val="en-US" w:eastAsia="zh-CN"/>
        </w:rPr>
        <w:t>审批。</w:t>
      </w:r>
    </w:p>
    <w:p w14:paraId="5677B1C7">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hint="eastAsia" w:ascii="方正仿宋_GBK" w:hAnsi="方正仿宋_GBK" w:eastAsia="方正仿宋_GBK" w:cs="方正仿宋_GBK"/>
          <w:spacing w:val="0"/>
          <w:sz w:val="32"/>
          <w:szCs w:val="32"/>
          <w:lang w:eastAsia="zh-CN"/>
        </w:rPr>
      </w:pPr>
      <w:r>
        <w:rPr>
          <w:rFonts w:hint="eastAsia" w:ascii="方正仿宋_GBK" w:hAnsi="方正仿宋_GBK" w:eastAsia="方正仿宋_GBK" w:cs="方正仿宋_GBK"/>
          <w:spacing w:val="0"/>
          <w:sz w:val="32"/>
          <w:szCs w:val="32"/>
          <w:lang w:eastAsia="zh-CN"/>
        </w:rPr>
        <w:t>涉密电子产品等资产处置应按规定办理。</w:t>
      </w:r>
    </w:p>
    <w:p w14:paraId="0F4FE31F">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hint="eastAsia" w:ascii="Times New Roman" w:hAnsi="Times New Roman" w:eastAsia="方正仿宋_GBK" w:cs="Times New Roman"/>
          <w:spacing w:val="0"/>
          <w:sz w:val="32"/>
          <w:szCs w:val="32"/>
          <w:lang w:eastAsia="zh-CN"/>
        </w:rPr>
      </w:pPr>
      <w:r>
        <w:rPr>
          <w:rFonts w:hint="eastAsia" w:ascii="方正仿宋_GBK" w:hAnsi="方正仿宋_GBK" w:eastAsia="方正仿宋_GBK" w:cs="方正仿宋_GBK"/>
          <w:spacing w:val="0"/>
          <w:sz w:val="32"/>
          <w:szCs w:val="32"/>
          <w:lang w:val="en-US" w:eastAsia="zh-CN"/>
        </w:rPr>
        <w:t>预算管理、基础管理、资产清查、绩效管理、资产报告和监督等章节按照《梅州市财政局 梅州市机关事务管理局转发广东省财政厅 广东省机关事务管理局关于印发〈广东省行政事业性国有资产管理办法（试行）〉的通知》（梅市财资</w:t>
      </w:r>
      <w:r>
        <w:rPr>
          <w:rFonts w:ascii="Times New Roman" w:hAnsi="Times New Roman" w:eastAsia="方正仿宋_GBK" w:cs="Times New Roman"/>
          <w:spacing w:val="0"/>
          <w:sz w:val="32"/>
          <w:szCs w:val="32"/>
          <w:lang w:eastAsia="zh-CN"/>
        </w:rPr>
        <w:t>〔2024〕7号</w:t>
      </w:r>
      <w:r>
        <w:rPr>
          <w:rFonts w:hint="eastAsia" w:ascii="Times New Roman" w:hAnsi="Times New Roman" w:eastAsia="方正仿宋_GBK" w:cs="Times New Roman"/>
          <w:spacing w:val="0"/>
          <w:sz w:val="32"/>
          <w:szCs w:val="32"/>
          <w:lang w:eastAsia="zh-CN"/>
        </w:rPr>
        <w:t>）文的相关规定执行。</w:t>
      </w:r>
    </w:p>
    <w:p w14:paraId="25E564A1">
      <w:pPr>
        <w:keepNext w:val="0"/>
        <w:keepLines w:val="0"/>
        <w:pageBreakBefore w:val="0"/>
        <w:widowControl/>
        <w:kinsoku/>
        <w:wordWrap/>
        <w:overflowPunct/>
        <w:topLinePunct w:val="0"/>
        <w:autoSpaceDE w:val="0"/>
        <w:autoSpaceDN w:val="0"/>
        <w:bidi w:val="0"/>
        <w:adjustRightInd w:val="0"/>
        <w:snapToGrid w:val="0"/>
        <w:spacing w:line="580" w:lineRule="exact"/>
        <w:ind w:firstLine="649" w:firstLineChars="150"/>
        <w:jc w:val="both"/>
        <w:textAlignment w:val="baseline"/>
        <w:rPr>
          <w:rFonts w:hint="default" w:ascii="Times New Roman" w:hAnsi="Times New Roman" w:eastAsia="方正仿宋_GBK" w:cs="Times New Roman"/>
          <w:spacing w:val="0"/>
          <w:sz w:val="32"/>
          <w:szCs w:val="32"/>
          <w:lang w:val="en-US" w:eastAsia="zh-CN"/>
        </w:rPr>
      </w:pPr>
    </w:p>
    <w:p w14:paraId="14ADA32A">
      <w:pPr>
        <w:keepNext w:val="0"/>
        <w:keepLines w:val="0"/>
        <w:pageBreakBefore w:val="0"/>
        <w:widowControl/>
        <w:kinsoku/>
        <w:wordWrap/>
        <w:overflowPunct/>
        <w:topLinePunct w:val="0"/>
        <w:autoSpaceDE w:val="0"/>
        <w:autoSpaceDN w:val="0"/>
        <w:bidi w:val="0"/>
        <w:adjustRightInd w:val="0"/>
        <w:snapToGrid w:val="0"/>
        <w:spacing w:afterLines="50" w:line="580" w:lineRule="exact"/>
        <w:jc w:val="center"/>
        <w:textAlignment w:val="baseline"/>
        <w:rPr>
          <w:rFonts w:ascii="方正黑体_GBK" w:hAnsi="方正黑体_GBK" w:eastAsia="方正黑体_GBK" w:cs="方正黑体_GBK"/>
          <w:spacing w:val="0"/>
          <w:sz w:val="32"/>
          <w:szCs w:val="32"/>
        </w:rPr>
      </w:pPr>
      <w:r>
        <w:rPr>
          <w:rFonts w:hint="eastAsia" w:ascii="方正黑体_GBK" w:hAnsi="方正黑体_GBK" w:eastAsia="方正黑体_GBK" w:cs="方正黑体_GBK"/>
          <w:spacing w:val="0"/>
          <w:sz w:val="32"/>
          <w:szCs w:val="32"/>
        </w:rPr>
        <w:t>第</w:t>
      </w:r>
      <w:r>
        <w:rPr>
          <w:rFonts w:hint="eastAsia" w:ascii="方正黑体_GBK" w:hAnsi="方正黑体_GBK" w:eastAsia="方正黑体_GBK" w:cs="方正黑体_GBK"/>
          <w:spacing w:val="0"/>
          <w:sz w:val="32"/>
          <w:szCs w:val="32"/>
          <w:lang w:eastAsia="zh-CN"/>
        </w:rPr>
        <w:t>六</w:t>
      </w:r>
      <w:r>
        <w:rPr>
          <w:rFonts w:hint="eastAsia" w:ascii="方正黑体_GBK" w:hAnsi="方正黑体_GBK" w:eastAsia="方正黑体_GBK" w:cs="方正黑体_GBK"/>
          <w:spacing w:val="0"/>
          <w:sz w:val="32"/>
          <w:szCs w:val="32"/>
        </w:rPr>
        <w:t xml:space="preserve">章 </w:t>
      </w:r>
      <w:r>
        <w:rPr>
          <w:rFonts w:hint="eastAsia" w:ascii="方正黑体_GBK" w:hAnsi="方正黑体_GBK" w:eastAsia="方正黑体_GBK" w:cs="方正黑体_GBK"/>
          <w:spacing w:val="0"/>
          <w:sz w:val="32"/>
          <w:szCs w:val="32"/>
          <w:lang w:val="en-US" w:eastAsia="zh-CN"/>
        </w:rPr>
        <w:t xml:space="preserve"> </w:t>
      </w:r>
      <w:r>
        <w:rPr>
          <w:rFonts w:hint="eastAsia" w:ascii="方正黑体_GBK" w:hAnsi="方正黑体_GBK" w:eastAsia="方正黑体_GBK" w:cs="方正黑体_GBK"/>
          <w:spacing w:val="0"/>
          <w:sz w:val="32"/>
          <w:szCs w:val="32"/>
        </w:rPr>
        <w:t>附则</w:t>
      </w:r>
    </w:p>
    <w:p w14:paraId="35213878">
      <w:pPr>
        <w:keepNext w:val="0"/>
        <w:keepLines w:val="0"/>
        <w:pageBreakBefore w:val="0"/>
        <w:widowControl/>
        <w:kinsoku/>
        <w:wordWrap/>
        <w:overflowPunct/>
        <w:topLinePunct w:val="0"/>
        <w:autoSpaceDE w:val="0"/>
        <w:autoSpaceDN w:val="0"/>
        <w:bidi w:val="0"/>
        <w:adjustRightInd w:val="0"/>
        <w:snapToGrid w:val="0"/>
        <w:spacing w:line="580" w:lineRule="exact"/>
        <w:ind w:firstLine="658"/>
        <w:jc w:val="both"/>
        <w:textAlignment w:val="baseline"/>
        <w:rPr>
          <w:rFonts w:ascii="方正仿宋_GBK" w:hAnsi="方正仿宋_GBK" w:eastAsia="方正仿宋_GBK" w:cs="方正仿宋_GBK"/>
          <w:spacing w:val="0"/>
          <w:sz w:val="32"/>
          <w:szCs w:val="32"/>
        </w:rPr>
      </w:pPr>
      <w:r>
        <w:rPr>
          <w:rFonts w:hint="eastAsia" w:ascii="方正楷体_GBK" w:hAnsi="方正楷体_GBK" w:eastAsia="方正楷体_GBK" w:cs="方正楷体_GBK"/>
          <w:spacing w:val="0"/>
          <w:sz w:val="32"/>
          <w:szCs w:val="32"/>
        </w:rPr>
        <w:t>第</w:t>
      </w:r>
      <w:r>
        <w:rPr>
          <w:rFonts w:hint="eastAsia" w:ascii="方正楷体_GBK" w:hAnsi="方正楷体_GBK" w:eastAsia="方正楷体_GBK" w:cs="方正楷体_GBK"/>
          <w:spacing w:val="0"/>
          <w:sz w:val="32"/>
          <w:szCs w:val="32"/>
          <w:lang w:eastAsia="zh-CN"/>
        </w:rPr>
        <w:t>二十二</w:t>
      </w:r>
      <w:r>
        <w:rPr>
          <w:rFonts w:hint="eastAsia" w:ascii="方正楷体_GBK" w:hAnsi="方正楷体_GBK" w:eastAsia="方正楷体_GBK" w:cs="方正楷体_GBK"/>
          <w:spacing w:val="0"/>
          <w:sz w:val="32"/>
          <w:szCs w:val="32"/>
        </w:rPr>
        <w:t>条</w:t>
      </w:r>
      <w:r>
        <w:rPr>
          <w:rFonts w:hint="eastAsia" w:ascii="方正仿宋_GBK" w:hAnsi="方正仿宋_GBK" w:eastAsia="方正仿宋_GBK" w:cs="方正仿宋_GBK"/>
          <w:spacing w:val="0"/>
          <w:sz w:val="32"/>
          <w:szCs w:val="32"/>
          <w:lang w:eastAsia="zh-CN"/>
        </w:rPr>
        <w:t xml:space="preserve"> </w:t>
      </w:r>
      <w:r>
        <w:rPr>
          <w:rFonts w:hint="eastAsia" w:ascii="方正仿宋_GBK" w:hAnsi="方正仿宋_GBK" w:eastAsia="方正仿宋_GBK" w:cs="方正仿宋_GBK"/>
          <w:spacing w:val="0"/>
          <w:sz w:val="32"/>
          <w:szCs w:val="32"/>
        </w:rPr>
        <w:t>除法律法规另有规定外，社会组织直接支配的行政事业性国有资产管理，依照本</w:t>
      </w:r>
      <w:r>
        <w:rPr>
          <w:rFonts w:hint="eastAsia" w:ascii="方正仿宋_GBK" w:hAnsi="方正仿宋_GBK" w:eastAsia="方正仿宋_GBK" w:cs="方正仿宋_GBK"/>
          <w:spacing w:val="0"/>
          <w:sz w:val="32"/>
          <w:szCs w:val="32"/>
          <w:lang w:eastAsia="zh-CN"/>
        </w:rPr>
        <w:t>实施细则</w:t>
      </w:r>
      <w:r>
        <w:rPr>
          <w:rFonts w:hint="eastAsia" w:ascii="方正仿宋_GBK" w:hAnsi="方正仿宋_GBK" w:eastAsia="方正仿宋_GBK" w:cs="方正仿宋_GBK"/>
          <w:spacing w:val="0"/>
          <w:sz w:val="32"/>
          <w:szCs w:val="32"/>
        </w:rPr>
        <w:t>执行。</w:t>
      </w:r>
    </w:p>
    <w:p w14:paraId="62758B04">
      <w:pPr>
        <w:keepNext w:val="0"/>
        <w:keepLines w:val="0"/>
        <w:pageBreakBefore w:val="0"/>
        <w:widowControl/>
        <w:kinsoku/>
        <w:wordWrap/>
        <w:overflowPunct/>
        <w:topLinePunct w:val="0"/>
        <w:autoSpaceDE w:val="0"/>
        <w:autoSpaceDN w:val="0"/>
        <w:bidi w:val="0"/>
        <w:adjustRightInd w:val="0"/>
        <w:snapToGrid w:val="0"/>
        <w:spacing w:line="580" w:lineRule="exact"/>
        <w:ind w:firstLine="658"/>
        <w:jc w:val="both"/>
        <w:textAlignment w:val="baseline"/>
        <w:rPr>
          <w:rFonts w:ascii="方正楷体_GBK" w:hAnsi="方正楷体_GBK" w:eastAsia="方正楷体_GBK" w:cs="方正楷体_GBK"/>
          <w:spacing w:val="0"/>
          <w:sz w:val="32"/>
          <w:szCs w:val="32"/>
        </w:rPr>
      </w:pPr>
      <w:r>
        <w:rPr>
          <w:rFonts w:hint="eastAsia" w:ascii="方正楷体_GBK" w:hAnsi="方正楷体_GBK" w:eastAsia="方正楷体_GBK" w:cs="方正楷体_GBK"/>
          <w:spacing w:val="0"/>
          <w:sz w:val="32"/>
          <w:szCs w:val="32"/>
        </w:rPr>
        <w:t>第</w:t>
      </w:r>
      <w:r>
        <w:rPr>
          <w:rFonts w:hint="eastAsia" w:ascii="方正楷体_GBK" w:hAnsi="方正楷体_GBK" w:eastAsia="方正楷体_GBK" w:cs="方正楷体_GBK"/>
          <w:spacing w:val="0"/>
          <w:sz w:val="32"/>
          <w:szCs w:val="32"/>
          <w:lang w:eastAsia="zh-CN"/>
        </w:rPr>
        <w:t>二十三</w:t>
      </w:r>
      <w:r>
        <w:rPr>
          <w:rFonts w:hint="eastAsia" w:ascii="方正楷体_GBK" w:hAnsi="方正楷体_GBK" w:eastAsia="方正楷体_GBK" w:cs="方正楷体_GBK"/>
          <w:spacing w:val="0"/>
          <w:sz w:val="32"/>
          <w:szCs w:val="32"/>
        </w:rPr>
        <w:t>条</w:t>
      </w:r>
      <w:r>
        <w:rPr>
          <w:rFonts w:hint="eastAsia" w:ascii="方正仿宋_GBK" w:hAnsi="方正仿宋_GBK" w:eastAsia="方正仿宋_GBK" w:cs="方正仿宋_GBK"/>
          <w:spacing w:val="0"/>
          <w:sz w:val="32"/>
          <w:szCs w:val="32"/>
        </w:rPr>
        <w:t xml:space="preserve"> 货币形式的行政事业性国有资产管理，按照预 算管理有关规定执行。</w:t>
      </w:r>
    </w:p>
    <w:p w14:paraId="332A8C51">
      <w:pPr>
        <w:keepNext w:val="0"/>
        <w:keepLines w:val="0"/>
        <w:pageBreakBefore w:val="0"/>
        <w:widowControl/>
        <w:kinsoku/>
        <w:wordWrap/>
        <w:overflowPunct/>
        <w:topLinePunct w:val="0"/>
        <w:autoSpaceDE w:val="0"/>
        <w:autoSpaceDN w:val="0"/>
        <w:bidi w:val="0"/>
        <w:adjustRightInd w:val="0"/>
        <w:snapToGrid w:val="0"/>
        <w:spacing w:line="580" w:lineRule="exact"/>
        <w:ind w:firstLine="658"/>
        <w:jc w:val="both"/>
        <w:textAlignment w:val="baseline"/>
        <w:rPr>
          <w:rFonts w:ascii="方正楷体_GBK" w:hAnsi="方正楷体_GBK" w:eastAsia="方正楷体_GBK" w:cs="方正楷体_GBK"/>
          <w:spacing w:val="0"/>
          <w:sz w:val="32"/>
          <w:szCs w:val="32"/>
        </w:rPr>
      </w:pPr>
      <w:r>
        <w:rPr>
          <w:rFonts w:hint="eastAsia" w:ascii="方正楷体_GBK" w:hAnsi="方正楷体_GBK" w:eastAsia="方正楷体_GBK" w:cs="方正楷体_GBK"/>
          <w:spacing w:val="0"/>
          <w:sz w:val="32"/>
          <w:szCs w:val="32"/>
        </w:rPr>
        <w:t>第</w:t>
      </w:r>
      <w:r>
        <w:rPr>
          <w:rFonts w:hint="eastAsia" w:ascii="方正楷体_GBK" w:hAnsi="方正楷体_GBK" w:eastAsia="方正楷体_GBK" w:cs="方正楷体_GBK"/>
          <w:spacing w:val="0"/>
          <w:sz w:val="32"/>
          <w:szCs w:val="32"/>
          <w:lang w:eastAsia="zh-CN"/>
        </w:rPr>
        <w:t>二十四</w:t>
      </w:r>
      <w:r>
        <w:rPr>
          <w:rFonts w:hint="eastAsia" w:ascii="方正楷体_GBK" w:hAnsi="方正楷体_GBK" w:eastAsia="方正楷体_GBK" w:cs="方正楷体_GBK"/>
          <w:spacing w:val="0"/>
          <w:sz w:val="32"/>
          <w:szCs w:val="32"/>
        </w:rPr>
        <w:t>条</w:t>
      </w:r>
      <w:r>
        <w:rPr>
          <w:rFonts w:hint="eastAsia" w:ascii="方正楷体_GBK" w:hAnsi="方正楷体_GBK" w:eastAsia="方正楷体_GBK" w:cs="方正楷体_GBK"/>
          <w:spacing w:val="0"/>
          <w:sz w:val="32"/>
          <w:szCs w:val="32"/>
          <w:lang w:eastAsia="zh-CN"/>
        </w:rPr>
        <w:t xml:space="preserve"> </w:t>
      </w:r>
      <w:r>
        <w:rPr>
          <w:rFonts w:hint="eastAsia" w:ascii="方正仿宋_GBK" w:hAnsi="方正仿宋_GBK" w:eastAsia="方正仿宋_GBK" w:cs="方正仿宋_GBK"/>
          <w:spacing w:val="0"/>
          <w:sz w:val="32"/>
          <w:szCs w:val="32"/>
        </w:rPr>
        <w:t>国家或省设立的研究开发机构对其持有的科技成果的使用和处置，依照《中华人民共和国促进科技成果转化法》《中华人民共和国专利法》等有关规定执行。</w:t>
      </w:r>
    </w:p>
    <w:p w14:paraId="1EC5E930">
      <w:pPr>
        <w:keepNext w:val="0"/>
        <w:keepLines w:val="0"/>
        <w:pageBreakBefore w:val="0"/>
        <w:widowControl/>
        <w:kinsoku/>
        <w:wordWrap/>
        <w:overflowPunct/>
        <w:topLinePunct w:val="0"/>
        <w:autoSpaceDE w:val="0"/>
        <w:autoSpaceDN w:val="0"/>
        <w:bidi w:val="0"/>
        <w:adjustRightInd w:val="0"/>
        <w:snapToGrid w:val="0"/>
        <w:spacing w:line="580" w:lineRule="exact"/>
        <w:ind w:firstLine="658"/>
        <w:jc w:val="both"/>
        <w:textAlignment w:val="baseline"/>
        <w:rPr>
          <w:rFonts w:ascii="方正楷体_GBK" w:hAnsi="方正楷体_GBK" w:eastAsia="方正楷体_GBK" w:cs="方正楷体_GBK"/>
          <w:spacing w:val="0"/>
          <w:sz w:val="32"/>
          <w:szCs w:val="32"/>
        </w:rPr>
      </w:pPr>
      <w:r>
        <w:rPr>
          <w:rFonts w:hint="eastAsia" w:ascii="方正楷体_GBK" w:hAnsi="方正楷体_GBK" w:eastAsia="方正楷体_GBK" w:cs="方正楷体_GBK"/>
          <w:spacing w:val="0"/>
          <w:sz w:val="32"/>
          <w:szCs w:val="32"/>
        </w:rPr>
        <w:t>第</w:t>
      </w:r>
      <w:r>
        <w:rPr>
          <w:rFonts w:hint="eastAsia" w:ascii="方正楷体_GBK" w:hAnsi="方正楷体_GBK" w:eastAsia="方正楷体_GBK" w:cs="方正楷体_GBK"/>
          <w:spacing w:val="0"/>
          <w:sz w:val="32"/>
          <w:szCs w:val="32"/>
          <w:lang w:eastAsia="zh-CN"/>
        </w:rPr>
        <w:t>二十五</w:t>
      </w:r>
      <w:r>
        <w:rPr>
          <w:rFonts w:hint="eastAsia" w:ascii="方正楷体_GBK" w:hAnsi="方正楷体_GBK" w:eastAsia="方正楷体_GBK" w:cs="方正楷体_GBK"/>
          <w:spacing w:val="0"/>
          <w:sz w:val="32"/>
          <w:szCs w:val="32"/>
        </w:rPr>
        <w:t>条</w:t>
      </w:r>
      <w:r>
        <w:rPr>
          <w:rFonts w:hint="eastAsia" w:ascii="方正楷体_GBK" w:hAnsi="方正楷体_GBK" w:eastAsia="方正楷体_GBK" w:cs="方正楷体_GBK"/>
          <w:spacing w:val="0"/>
          <w:sz w:val="32"/>
          <w:szCs w:val="32"/>
          <w:lang w:eastAsia="zh-CN"/>
        </w:rPr>
        <w:t xml:space="preserve"> </w:t>
      </w:r>
      <w:r>
        <w:rPr>
          <w:rFonts w:hint="eastAsia" w:ascii="方正楷体_GBK" w:hAnsi="方正楷体_GBK" w:eastAsia="方正楷体_GBK" w:cs="方正楷体_GBK"/>
          <w:spacing w:val="0"/>
          <w:sz w:val="32"/>
          <w:szCs w:val="32"/>
        </w:rPr>
        <w:t xml:space="preserve"> </w:t>
      </w:r>
      <w:r>
        <w:rPr>
          <w:rFonts w:hint="eastAsia" w:ascii="方正仿宋_GBK" w:hAnsi="方正仿宋_GBK" w:eastAsia="方正仿宋_GBK" w:cs="方正仿宋_GBK"/>
          <w:spacing w:val="0"/>
          <w:sz w:val="32"/>
          <w:szCs w:val="32"/>
        </w:rPr>
        <w:t>本</w:t>
      </w:r>
      <w:r>
        <w:rPr>
          <w:rFonts w:hint="eastAsia" w:ascii="方正仿宋_GBK" w:hAnsi="方正仿宋_GBK" w:eastAsia="方正仿宋_GBK" w:cs="方正仿宋_GBK"/>
          <w:spacing w:val="0"/>
          <w:sz w:val="32"/>
          <w:szCs w:val="32"/>
          <w:lang w:eastAsia="zh-CN"/>
        </w:rPr>
        <w:t>实施细则</w:t>
      </w:r>
      <w:r>
        <w:rPr>
          <w:rFonts w:hint="eastAsia" w:ascii="方正仿宋_GBK" w:hAnsi="方正仿宋_GBK" w:eastAsia="方正仿宋_GBK" w:cs="方正仿宋_GBK"/>
          <w:spacing w:val="0"/>
          <w:sz w:val="32"/>
          <w:szCs w:val="32"/>
        </w:rPr>
        <w:t>由</w:t>
      </w:r>
      <w:r>
        <w:rPr>
          <w:rFonts w:hint="eastAsia" w:ascii="方正仿宋_GBK" w:hAnsi="方正仿宋_GBK" w:eastAsia="方正仿宋_GBK" w:cs="方正仿宋_GBK"/>
          <w:spacing w:val="0"/>
          <w:sz w:val="32"/>
          <w:szCs w:val="32"/>
          <w:lang w:eastAsia="zh-CN"/>
        </w:rPr>
        <w:t>县</w:t>
      </w:r>
      <w:r>
        <w:rPr>
          <w:rFonts w:hint="eastAsia" w:ascii="方正仿宋_GBK" w:hAnsi="方正仿宋_GBK" w:eastAsia="方正仿宋_GBK" w:cs="方正仿宋_GBK"/>
          <w:spacing w:val="0"/>
          <w:sz w:val="32"/>
          <w:szCs w:val="32"/>
        </w:rPr>
        <w:t>财政</w:t>
      </w:r>
      <w:r>
        <w:rPr>
          <w:rFonts w:hint="eastAsia" w:ascii="方正仿宋_GBK" w:hAnsi="方正仿宋_GBK" w:eastAsia="方正仿宋_GBK" w:cs="方正仿宋_GBK"/>
          <w:spacing w:val="0"/>
          <w:sz w:val="32"/>
          <w:szCs w:val="32"/>
          <w:lang w:eastAsia="zh-CN"/>
        </w:rPr>
        <w:t>局</w:t>
      </w:r>
      <w:r>
        <w:rPr>
          <w:rFonts w:hint="eastAsia" w:ascii="方正仿宋_GBK" w:hAnsi="方正仿宋_GBK" w:eastAsia="方正仿宋_GBK" w:cs="方正仿宋_GBK"/>
          <w:spacing w:val="0"/>
          <w:sz w:val="32"/>
          <w:szCs w:val="32"/>
        </w:rPr>
        <w:t>负责解释。</w:t>
      </w:r>
    </w:p>
    <w:p w14:paraId="1C026D7F">
      <w:pPr>
        <w:keepNext w:val="0"/>
        <w:keepLines w:val="0"/>
        <w:pageBreakBefore w:val="0"/>
        <w:widowControl/>
        <w:kinsoku/>
        <w:wordWrap/>
        <w:overflowPunct/>
        <w:topLinePunct w:val="0"/>
        <w:autoSpaceDE w:val="0"/>
        <w:autoSpaceDN w:val="0"/>
        <w:bidi w:val="0"/>
        <w:adjustRightInd w:val="0"/>
        <w:snapToGrid w:val="0"/>
        <w:spacing w:line="580" w:lineRule="exact"/>
        <w:ind w:firstLine="658"/>
        <w:jc w:val="both"/>
        <w:textAlignment w:val="baseline"/>
        <w:rPr>
          <w:rFonts w:hint="eastAsia" w:ascii="方正楷体_GBK" w:hAnsi="方正楷体_GBK" w:eastAsia="方正仿宋_GBK" w:cs="方正楷体_GBK"/>
          <w:spacing w:val="0"/>
          <w:sz w:val="32"/>
          <w:szCs w:val="32"/>
          <w:lang w:eastAsia="zh-CN"/>
        </w:rPr>
      </w:pPr>
      <w:r>
        <w:rPr>
          <w:rFonts w:hint="eastAsia" w:ascii="方正楷体_GBK" w:hAnsi="方正楷体_GBK" w:eastAsia="方正楷体_GBK" w:cs="方正楷体_GBK"/>
          <w:spacing w:val="0"/>
          <w:sz w:val="32"/>
          <w:szCs w:val="32"/>
        </w:rPr>
        <w:t>第</w:t>
      </w:r>
      <w:r>
        <w:rPr>
          <w:rFonts w:hint="eastAsia" w:ascii="方正楷体_GBK" w:hAnsi="方正楷体_GBK" w:eastAsia="方正楷体_GBK" w:cs="方正楷体_GBK"/>
          <w:spacing w:val="0"/>
          <w:sz w:val="32"/>
          <w:szCs w:val="32"/>
          <w:lang w:eastAsia="zh-CN"/>
        </w:rPr>
        <w:t>二十六</w:t>
      </w:r>
      <w:r>
        <w:rPr>
          <w:rFonts w:hint="eastAsia" w:ascii="方正楷体_GBK" w:hAnsi="方正楷体_GBK" w:eastAsia="方正楷体_GBK" w:cs="方正楷体_GBK"/>
          <w:spacing w:val="0"/>
          <w:sz w:val="32"/>
          <w:szCs w:val="32"/>
        </w:rPr>
        <w:t xml:space="preserve">条 </w:t>
      </w:r>
      <w:r>
        <w:rPr>
          <w:rFonts w:hint="eastAsia" w:ascii="方正仿宋_GBK" w:hAnsi="方正仿宋_GBK" w:eastAsia="方正仿宋_GBK" w:cs="方正仿宋_GBK"/>
          <w:spacing w:val="0"/>
          <w:sz w:val="32"/>
          <w:szCs w:val="32"/>
        </w:rPr>
        <w:t>本</w:t>
      </w:r>
      <w:r>
        <w:rPr>
          <w:rFonts w:hint="eastAsia" w:ascii="方正仿宋_GBK" w:hAnsi="方正仿宋_GBK" w:eastAsia="方正仿宋_GBK" w:cs="方正仿宋_GBK"/>
          <w:spacing w:val="0"/>
          <w:sz w:val="32"/>
          <w:szCs w:val="32"/>
          <w:lang w:eastAsia="zh-CN"/>
        </w:rPr>
        <w:t>实施细则</w:t>
      </w:r>
      <w:r>
        <w:rPr>
          <w:rFonts w:hint="eastAsia" w:ascii="方正仿宋_GBK" w:hAnsi="方正仿宋_GBK" w:eastAsia="方正仿宋_GBK" w:cs="方正仿宋_GBK"/>
          <w:spacing w:val="0"/>
          <w:sz w:val="32"/>
          <w:szCs w:val="32"/>
        </w:rPr>
        <w:t>自印发之日起施行。如以上</w:t>
      </w:r>
      <w:r>
        <w:rPr>
          <w:rFonts w:hint="eastAsia" w:ascii="方正仿宋_GBK" w:hAnsi="方正仿宋_GBK" w:eastAsia="方正仿宋_GBK" w:cs="方正仿宋_GBK"/>
          <w:spacing w:val="0"/>
          <w:sz w:val="32"/>
          <w:szCs w:val="32"/>
          <w:lang w:eastAsia="zh-CN"/>
        </w:rPr>
        <w:t>实施细则</w:t>
      </w:r>
      <w:r>
        <w:rPr>
          <w:rFonts w:hint="eastAsia" w:ascii="方正仿宋_GBK" w:hAnsi="方正仿宋_GBK" w:eastAsia="方正仿宋_GBK" w:cs="方正仿宋_GBK"/>
          <w:spacing w:val="0"/>
          <w:sz w:val="32"/>
          <w:szCs w:val="32"/>
        </w:rPr>
        <w:t>与我县其他文件有冲突的，以此</w:t>
      </w:r>
      <w:r>
        <w:rPr>
          <w:rFonts w:hint="eastAsia" w:ascii="方正仿宋_GBK" w:hAnsi="方正仿宋_GBK" w:eastAsia="方正仿宋_GBK" w:cs="方正仿宋_GBK"/>
          <w:spacing w:val="0"/>
          <w:sz w:val="32"/>
          <w:szCs w:val="32"/>
          <w:lang w:eastAsia="zh-CN"/>
        </w:rPr>
        <w:t>实施细则</w:t>
      </w:r>
      <w:r>
        <w:rPr>
          <w:rFonts w:hint="eastAsia" w:ascii="方正仿宋_GBK" w:hAnsi="方正仿宋_GBK" w:eastAsia="方正仿宋_GBK" w:cs="方正仿宋_GBK"/>
          <w:spacing w:val="0"/>
          <w:sz w:val="32"/>
          <w:szCs w:val="32"/>
        </w:rPr>
        <w:t>规定为准</w:t>
      </w:r>
      <w:r>
        <w:rPr>
          <w:rFonts w:hint="eastAsia" w:ascii="方正仿宋_GBK" w:hAnsi="方正仿宋_GBK" w:eastAsia="方正仿宋_GBK" w:cs="方正仿宋_GBK"/>
          <w:spacing w:val="0"/>
          <w:sz w:val="32"/>
          <w:szCs w:val="32"/>
          <w:lang w:eastAsia="zh-CN"/>
        </w:rPr>
        <w:t>。</w:t>
      </w:r>
    </w:p>
    <w:sectPr>
      <w:footerReference r:id="rId3" w:type="default"/>
      <w:pgSz w:w="11900" w:h="16840"/>
      <w:pgMar w:top="2098" w:right="1417" w:bottom="1701" w:left="1417" w:header="0" w:footer="1701" w:gutter="0"/>
      <w:cols w:space="0" w:num="1"/>
      <w:docGrid w:type="linesAndChars" w:linePitch="592" w:charSpace="233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2D664">
    <w:pPr>
      <w:pStyle w:val="2"/>
      <w:spacing w:before="1" w:line="177" w:lineRule="auto"/>
      <w:ind w:left="140"/>
      <w:rPr>
        <w:sz w:val="32"/>
        <w:szCs w:val="32"/>
      </w:rPr>
    </w:pPr>
    <w:r>
      <w:rPr>
        <w:sz w:val="32"/>
      </w:rP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00B33565">
                <w:pPr>
                  <w:pStyle w:val="3"/>
                </w:pPr>
                <w:r>
                  <w:t xml:space="preserve">— </w:t>
                </w:r>
                <w:r>
                  <w:fldChar w:fldCharType="begin"/>
                </w:r>
                <w:r>
                  <w:instrText xml:space="preserve"> PAGE  \* MERGEFORMAT </w:instrText>
                </w:r>
                <w:r>
                  <w:fldChar w:fldCharType="separate"/>
                </w:r>
                <w:r>
                  <w:t>2</w:t>
                </w:r>
                <w:r>
                  <w:fldChar w:fldCharType="end"/>
                </w:r>
                <w: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74B2F"/>
    <w:multiLevelType w:val="singleLevel"/>
    <w:tmpl w:val="93D74B2F"/>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86"/>
  <w:drawingGridHorizontalSpacing w:val="162"/>
  <w:drawingGridVerticalSpacing w:val="296"/>
  <w:displayHorizontalDrawingGridEvery w:val="1"/>
  <w:displayVerticalDrawingGridEvery w:val="1"/>
  <w:noPunctuationKerning w:val="1"/>
  <w:characterSpacingControl w:val="doNotCompress"/>
  <w:hdrShapeDefaults>
    <o:shapelayout v:ext="edit">
      <o:idmap v:ext="edit" data="1"/>
    </o:shapelayout>
  </w:hdrShapeDefault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GNmY2UxM2M4NTYwMjQ3NDc0MzZjMDkxMDE2YmEyZWIifQ=="/>
  </w:docVars>
  <w:rsids>
    <w:rsidRoot w:val="006A561C"/>
    <w:rsid w:val="003F506E"/>
    <w:rsid w:val="006A561C"/>
    <w:rsid w:val="00870BA2"/>
    <w:rsid w:val="00975C64"/>
    <w:rsid w:val="04277401"/>
    <w:rsid w:val="062456B7"/>
    <w:rsid w:val="07EB3DBA"/>
    <w:rsid w:val="08B35707"/>
    <w:rsid w:val="091D420B"/>
    <w:rsid w:val="09300B06"/>
    <w:rsid w:val="097E18CB"/>
    <w:rsid w:val="0A8A6D89"/>
    <w:rsid w:val="0B2839CB"/>
    <w:rsid w:val="0B3E75E6"/>
    <w:rsid w:val="0DAA34DA"/>
    <w:rsid w:val="0F5A42B2"/>
    <w:rsid w:val="1046495F"/>
    <w:rsid w:val="127618C9"/>
    <w:rsid w:val="187D188E"/>
    <w:rsid w:val="1A4475B0"/>
    <w:rsid w:val="1BE52AFD"/>
    <w:rsid w:val="1C1F7707"/>
    <w:rsid w:val="1C6A28E7"/>
    <w:rsid w:val="1D102CD1"/>
    <w:rsid w:val="1DF625B9"/>
    <w:rsid w:val="1FD3425F"/>
    <w:rsid w:val="21F159F7"/>
    <w:rsid w:val="23A3109B"/>
    <w:rsid w:val="253F5D12"/>
    <w:rsid w:val="26A368A7"/>
    <w:rsid w:val="27045EA0"/>
    <w:rsid w:val="273544CD"/>
    <w:rsid w:val="27D55D8E"/>
    <w:rsid w:val="290B39DC"/>
    <w:rsid w:val="2974178C"/>
    <w:rsid w:val="2BB51D22"/>
    <w:rsid w:val="2BF23FB5"/>
    <w:rsid w:val="308879E8"/>
    <w:rsid w:val="323B345D"/>
    <w:rsid w:val="32F51771"/>
    <w:rsid w:val="33560FA7"/>
    <w:rsid w:val="340C0FC4"/>
    <w:rsid w:val="3433136D"/>
    <w:rsid w:val="368B0086"/>
    <w:rsid w:val="38105905"/>
    <w:rsid w:val="38EE1D29"/>
    <w:rsid w:val="39132E9A"/>
    <w:rsid w:val="39706576"/>
    <w:rsid w:val="3A9737AF"/>
    <w:rsid w:val="3DEF4BD5"/>
    <w:rsid w:val="3E542CA5"/>
    <w:rsid w:val="3FC2133F"/>
    <w:rsid w:val="40B97133"/>
    <w:rsid w:val="42743539"/>
    <w:rsid w:val="437E0353"/>
    <w:rsid w:val="460B745F"/>
    <w:rsid w:val="47FE336C"/>
    <w:rsid w:val="49E04914"/>
    <w:rsid w:val="4B8E0F90"/>
    <w:rsid w:val="4C0A6E4A"/>
    <w:rsid w:val="4E22452F"/>
    <w:rsid w:val="4E254023"/>
    <w:rsid w:val="4F45462A"/>
    <w:rsid w:val="4FCB5ECF"/>
    <w:rsid w:val="511B6D5D"/>
    <w:rsid w:val="516E0C94"/>
    <w:rsid w:val="53751996"/>
    <w:rsid w:val="550C6370"/>
    <w:rsid w:val="58CB7914"/>
    <w:rsid w:val="59BD06F7"/>
    <w:rsid w:val="5A5F6122"/>
    <w:rsid w:val="5A9007B4"/>
    <w:rsid w:val="5B96382F"/>
    <w:rsid w:val="5EAE07C7"/>
    <w:rsid w:val="5FC12487"/>
    <w:rsid w:val="5FC3025C"/>
    <w:rsid w:val="601B2AEB"/>
    <w:rsid w:val="604333E3"/>
    <w:rsid w:val="61F0700F"/>
    <w:rsid w:val="62B949A5"/>
    <w:rsid w:val="62ED6894"/>
    <w:rsid w:val="642641DD"/>
    <w:rsid w:val="64A05963"/>
    <w:rsid w:val="64C02F61"/>
    <w:rsid w:val="65EA7A3F"/>
    <w:rsid w:val="664E68C1"/>
    <w:rsid w:val="6BDD1270"/>
    <w:rsid w:val="6BF822D6"/>
    <w:rsid w:val="6F162928"/>
    <w:rsid w:val="6FED7240"/>
    <w:rsid w:val="709616B1"/>
    <w:rsid w:val="72786B49"/>
    <w:rsid w:val="736A3295"/>
    <w:rsid w:val="751A25E7"/>
    <w:rsid w:val="76B635EE"/>
    <w:rsid w:val="76C45CEB"/>
    <w:rsid w:val="79F97D60"/>
    <w:rsid w:val="7DB61286"/>
    <w:rsid w:val="7EDF3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81"/>
      <w:szCs w:val="81"/>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3811</Words>
  <Characters>3829</Characters>
  <Lines>38</Lines>
  <Paragraphs>10</Paragraphs>
  <TotalTime>10</TotalTime>
  <ScaleCrop>false</ScaleCrop>
  <LinksUpToDate>false</LinksUpToDate>
  <CharactersWithSpaces>3888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2024-10-12T10:21:00Z</dcterms:created>
  <dc:creator>Kingsoft-PDF</dc:creator>
  <cp:lastModifiedBy>紫丁香</cp:lastModifiedBy>
  <cp:lastPrinted>2025-01-14T07:27:00Z</cp:lastPrinted>
  <dcterms:modified xsi:type="dcterms:W3CDTF">2025-03-10T03:34:11Z</dcterms:modified>
  <dc:subject>pdfbuilder</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2024-10-12T10:21:21Z</vt:filetime>
  </property>
  <property fmtid="{D5CDD505-2E9C-101B-9397-08002B2CF9AE}" pid="4" name="UsrData">
    <vt:lpwstr>6709dd1aa3a7d800206523eawl</vt:lpwstr>
  </property>
  <property fmtid="{D5CDD505-2E9C-101B-9397-08002B2CF9AE}" pid="5" name="KSOProductBuildVer">
    <vt:lpwstr>2052-12.1.0.20305</vt:lpwstr>
  </property>
  <property fmtid="{D5CDD505-2E9C-101B-9397-08002B2CF9AE}" pid="6" name="ICV">
    <vt:lpwstr>2BC55CC8D3D44D76BD992BF2FB1BB8C5_12</vt:lpwstr>
  </property>
  <property fmtid="{D5CDD505-2E9C-101B-9397-08002B2CF9AE}" pid="7" name="KSOTemplateDocerSaveRecord">
    <vt:lpwstr>eyJoZGlkIjoiZGNmY2UxM2M4NTYwMjQ3NDc0MzZjMDkxMDE2YmEyZWIiLCJ1c2VySWQiOiI4NjkyNDU3ODIifQ==</vt:lpwstr>
  </property>
</Properties>
</file>