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E766C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Default="00E766C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水务局</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7C1B0E" w:rsidRDefault="007C1B0E" w:rsidP="007C1B0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7C1B0E" w:rsidRDefault="007C1B0E" w:rsidP="007C1B0E">
      <w:pPr>
        <w:jc w:val="center"/>
        <w:rPr>
          <w:rFonts w:ascii="黑体" w:eastAsia="黑体" w:hAnsi="黑体" w:cs="黑体"/>
          <w:sz w:val="44"/>
          <w:szCs w:val="44"/>
        </w:rPr>
      </w:pPr>
    </w:p>
    <w:p w:rsidR="007C1B0E" w:rsidRPr="005E1E86" w:rsidRDefault="007C1B0E" w:rsidP="007C1B0E">
      <w:pPr>
        <w:pStyle w:val="a6"/>
        <w:numPr>
          <w:ilvl w:val="0"/>
          <w:numId w:val="6"/>
        </w:numPr>
        <w:ind w:firstLineChars="0"/>
        <w:rPr>
          <w:rFonts w:ascii="黑体" w:eastAsia="黑体" w:hAnsi="黑体" w:cs="黑体"/>
          <w:sz w:val="32"/>
          <w:szCs w:val="32"/>
        </w:rPr>
      </w:pPr>
      <w:r>
        <w:rPr>
          <w:rFonts w:ascii="黑体" w:eastAsia="黑体" w:hAnsi="黑体" w:cs="黑体" w:hint="eastAsia"/>
          <w:sz w:val="32"/>
          <w:szCs w:val="32"/>
        </w:rPr>
        <w:t xml:space="preserve"> </w:t>
      </w:r>
      <w:r w:rsidRPr="005E1E86">
        <w:rPr>
          <w:rFonts w:ascii="黑体" w:eastAsia="黑体" w:hAnsi="黑体" w:cs="黑体" w:hint="eastAsia"/>
          <w:sz w:val="32"/>
          <w:szCs w:val="32"/>
        </w:rPr>
        <w:t>水务局概况</w:t>
      </w:r>
    </w:p>
    <w:p w:rsidR="007C1B0E" w:rsidRDefault="007C1B0E" w:rsidP="007C1B0E">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7C1B0E" w:rsidRDefault="007C1B0E" w:rsidP="007C1B0E">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7C1B0E" w:rsidRDefault="007C1B0E" w:rsidP="007C1B0E">
      <w:pPr>
        <w:ind w:firstLineChars="200" w:firstLine="640"/>
        <w:rPr>
          <w:rFonts w:ascii="黑体" w:eastAsia="黑体" w:hAnsi="黑体" w:cs="黑体"/>
          <w:sz w:val="32"/>
          <w:szCs w:val="32"/>
        </w:rPr>
      </w:pPr>
      <w:r>
        <w:rPr>
          <w:rFonts w:ascii="黑体" w:eastAsia="黑体" w:hAnsi="黑体" w:cs="黑体" w:hint="eastAsia"/>
          <w:sz w:val="32"/>
          <w:szCs w:val="32"/>
        </w:rPr>
        <w:t>第二部分  2018年部门预算表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7C1B0E" w:rsidRDefault="007C1B0E" w:rsidP="007C1B0E">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7C1B0E" w:rsidRDefault="007C1B0E" w:rsidP="007C1B0E">
      <w:pPr>
        <w:ind w:firstLineChars="200" w:firstLine="640"/>
        <w:rPr>
          <w:rFonts w:ascii="黑体" w:eastAsia="黑体" w:hAnsi="黑体" w:cs="黑体"/>
          <w:sz w:val="32"/>
          <w:szCs w:val="32"/>
        </w:rPr>
      </w:pPr>
      <w:r>
        <w:rPr>
          <w:rFonts w:ascii="黑体" w:eastAsia="黑体" w:hAnsi="黑体" w:cs="黑体" w:hint="eastAsia"/>
          <w:sz w:val="32"/>
          <w:szCs w:val="32"/>
        </w:rPr>
        <w:t>第三部分  2018年部门预算情况说明</w:t>
      </w:r>
    </w:p>
    <w:p w:rsidR="007C1B0E" w:rsidRDefault="007C1B0E" w:rsidP="007C1B0E">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7C1B0E" w:rsidRDefault="007C1B0E" w:rsidP="007C1B0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水务局概况</w:t>
      </w:r>
    </w:p>
    <w:p w:rsidR="007C1B0E" w:rsidRDefault="007C1B0E" w:rsidP="007C1B0E">
      <w:pPr>
        <w:rPr>
          <w:rFonts w:ascii="黑体" w:eastAsia="黑体" w:hAnsi="黑体" w:cs="黑体"/>
          <w:sz w:val="44"/>
          <w:szCs w:val="44"/>
        </w:rPr>
      </w:pPr>
    </w:p>
    <w:p w:rsidR="007C1B0E" w:rsidRDefault="007C1B0E" w:rsidP="007C1B0E">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7C1B0E" w:rsidRPr="00B62FD3" w:rsidRDefault="007C1B0E" w:rsidP="007C1B0E">
      <w:pPr>
        <w:ind w:firstLineChars="200" w:firstLine="640"/>
        <w:rPr>
          <w:rFonts w:ascii="宋体" w:hAnsi="宋体" w:cs="宋体"/>
          <w:color w:val="505050"/>
          <w:kern w:val="0"/>
          <w:sz w:val="27"/>
          <w:szCs w:val="27"/>
        </w:rPr>
      </w:pPr>
      <w:r w:rsidRPr="00B62FD3">
        <w:rPr>
          <w:rFonts w:asciiTheme="minorEastAsia" w:hAnsiTheme="minorEastAsia" w:hint="eastAsia"/>
          <w:sz w:val="32"/>
          <w:szCs w:val="32"/>
        </w:rPr>
        <w:t>大埔县水务局是主管水利等相关工</w:t>
      </w:r>
      <w:r w:rsidRPr="00B62FD3">
        <w:rPr>
          <w:rFonts w:ascii="仿宋_GB2312" w:eastAsia="仿宋_GB2312" w:hint="eastAsia"/>
          <w:sz w:val="32"/>
          <w:szCs w:val="32"/>
        </w:rPr>
        <w:t>作的职能部门。主要职责：</w:t>
      </w:r>
      <w:r w:rsidRPr="00B62FD3">
        <w:rPr>
          <w:rFonts w:ascii="仿宋_GB2312" w:eastAsia="仿宋_GB2312" w:hAnsi="宋体" w:cs="宋体" w:hint="eastAsia"/>
          <w:color w:val="505050"/>
          <w:kern w:val="0"/>
          <w:sz w:val="32"/>
          <w:szCs w:val="32"/>
        </w:rPr>
        <w:t>贯彻执行国家、省、市、县有关水行政和供水、用水、节水、排水、污水处理等管理工作；负责保障水资源的合理开发利用，组织研究和拟订全县水利、农村水电发展的中长期规划及年度计划；组织编制全县主要江河流域综合规划和防洪等有关专业规划，并负责监督实施；统    监督管理全县水资源工作</w:t>
      </w:r>
      <w:r w:rsidRPr="00B62FD3">
        <w:rPr>
          <w:rFonts w:ascii="宋体" w:hAnsi="宋体" w:cs="宋体" w:hint="eastAsia"/>
          <w:color w:val="505050"/>
          <w:kern w:val="0"/>
          <w:sz w:val="27"/>
          <w:szCs w:val="27"/>
        </w:rPr>
        <w:t>；</w:t>
      </w:r>
      <w:r w:rsidRPr="00B62FD3">
        <w:rPr>
          <w:rFonts w:ascii="仿宋_GB2312" w:eastAsia="仿宋_GB2312" w:hAnsi="宋体" w:cs="宋体" w:hint="eastAsia"/>
          <w:color w:val="505050"/>
          <w:kern w:val="0"/>
          <w:sz w:val="32"/>
          <w:szCs w:val="32"/>
        </w:rPr>
        <w:t>组织和指导全县水行政执法及水政监察，依法依规查处涉水违法案件和违规行为，依法协调、处理涉水事件和纠纷。</w:t>
      </w:r>
    </w:p>
    <w:p w:rsidR="007C1B0E" w:rsidRPr="00B62FD3" w:rsidRDefault="007C1B0E" w:rsidP="007C1B0E">
      <w:pPr>
        <w:widowControl/>
        <w:ind w:firstLineChars="200" w:firstLine="640"/>
        <w:jc w:val="left"/>
        <w:rPr>
          <w:rFonts w:ascii="宋体" w:hAnsi="宋体" w:cs="宋体"/>
          <w:color w:val="505050"/>
          <w:kern w:val="0"/>
          <w:sz w:val="27"/>
          <w:szCs w:val="27"/>
        </w:rPr>
      </w:pPr>
      <w:r w:rsidRPr="00B62FD3">
        <w:rPr>
          <w:rFonts w:ascii="仿宋_GB2312" w:eastAsia="仿宋_GB2312" w:hAnsi="宋体" w:cs="宋体" w:hint="eastAsia"/>
          <w:color w:val="505050"/>
          <w:kern w:val="0"/>
          <w:sz w:val="32"/>
          <w:szCs w:val="32"/>
        </w:rPr>
        <w:t>审查大、中、小型水利和编制供排水、污水处理等基建项目建议书、可行性研究报告、初步设计、技施设计；组织、指导全县水利、农村水电和供排水、污水处理等工程建设质量的监督管理，并指导、监督、协调工程的监理工作；指导和监督水利、农村水电、供排水、污水处理等工程招标投标有关工作；组织拟订本行业有关工程建设的实施细则，组织实施水利工程建设的监督。</w:t>
      </w:r>
    </w:p>
    <w:p w:rsidR="007C1B0E" w:rsidRPr="00B62FD3" w:rsidRDefault="007C1B0E" w:rsidP="007C1B0E">
      <w:pPr>
        <w:widowControl/>
        <w:ind w:firstLineChars="200" w:firstLine="640"/>
        <w:jc w:val="left"/>
        <w:rPr>
          <w:rFonts w:ascii="宋体" w:hAnsi="宋体" w:cs="宋体"/>
          <w:color w:val="505050"/>
          <w:kern w:val="0"/>
          <w:sz w:val="27"/>
          <w:szCs w:val="27"/>
        </w:rPr>
      </w:pPr>
      <w:r w:rsidRPr="00B62FD3">
        <w:rPr>
          <w:rFonts w:ascii="仿宋_GB2312" w:eastAsia="仿宋_GB2312" w:hAnsi="宋体" w:cs="宋体" w:hint="eastAsia"/>
          <w:color w:val="505050"/>
          <w:kern w:val="0"/>
          <w:sz w:val="32"/>
          <w:szCs w:val="32"/>
        </w:rPr>
        <w:t>组织、指导全县范围内水利设施、江河水域及其岸线的管理与保护，组织、指导江河河口和滩涂的综合治理与开发，</w:t>
      </w:r>
      <w:r w:rsidRPr="00B62FD3">
        <w:rPr>
          <w:rFonts w:ascii="仿宋_GB2312" w:eastAsia="仿宋_GB2312" w:hAnsi="宋体" w:cs="宋体" w:hint="eastAsia"/>
          <w:color w:val="505050"/>
          <w:kern w:val="0"/>
          <w:sz w:val="32"/>
          <w:szCs w:val="32"/>
        </w:rPr>
        <w:lastRenderedPageBreak/>
        <w:t>并对依法征收河道、河堤、滩涂占用费的使用进行监督；指导水利工程建设与运行管理。</w:t>
      </w:r>
    </w:p>
    <w:p w:rsidR="007C1B0E" w:rsidRPr="00B62FD3" w:rsidRDefault="007C1B0E" w:rsidP="007C1B0E">
      <w:pPr>
        <w:widowControl/>
        <w:ind w:firstLineChars="200" w:firstLine="640"/>
        <w:jc w:val="left"/>
        <w:rPr>
          <w:rFonts w:ascii="宋体" w:hAnsi="宋体" w:cs="宋体"/>
          <w:color w:val="505050"/>
          <w:kern w:val="0"/>
          <w:sz w:val="27"/>
          <w:szCs w:val="27"/>
        </w:rPr>
      </w:pPr>
      <w:r w:rsidRPr="00B62FD3">
        <w:rPr>
          <w:rFonts w:ascii="仿宋_GB2312" w:eastAsia="仿宋_GB2312" w:hAnsi="宋体" w:cs="宋体" w:hint="eastAsia"/>
          <w:color w:val="505050"/>
          <w:kern w:val="0"/>
          <w:sz w:val="32"/>
          <w:szCs w:val="32"/>
        </w:rPr>
        <w:t>负责全县农村水电、农村电气化县（镇、村）建设和小水电代燃料工作，按规定指导农村水能资源开发工作；指导全县农村水利工作；组织协调农田水利基本建设；指导全县农村饮水安全、节水灌溉等工程建设与管理工作；指导全县农村水利社会化服务体系建设；指导全县农村乡镇供水、人畜饮水工作。</w:t>
      </w:r>
    </w:p>
    <w:p w:rsidR="007C1B0E" w:rsidRPr="00B62FD3" w:rsidRDefault="007C1B0E" w:rsidP="007C1B0E">
      <w:pPr>
        <w:widowControl/>
        <w:ind w:firstLineChars="200" w:firstLine="640"/>
        <w:jc w:val="left"/>
        <w:rPr>
          <w:rFonts w:ascii="宋体" w:hAnsi="宋体" w:cs="宋体"/>
          <w:color w:val="505050"/>
          <w:kern w:val="0"/>
          <w:sz w:val="27"/>
          <w:szCs w:val="27"/>
        </w:rPr>
      </w:pPr>
      <w:r w:rsidRPr="00B62FD3">
        <w:rPr>
          <w:rFonts w:ascii="仿宋_GB2312" w:eastAsia="仿宋_GB2312" w:hAnsi="宋体" w:cs="宋体" w:hint="eastAsia"/>
          <w:color w:val="505050"/>
          <w:kern w:val="0"/>
          <w:sz w:val="32"/>
          <w:szCs w:val="32"/>
        </w:rPr>
        <w:t>负责防治水土流失，组织全县水土保持工作。组织拟订水土保持规划并监督实施，组织实施水土流失的监测和综合防治并定期公告；负责有关生产建设项目水土保持方案的审查、审批、监督实施及水土保持设施的验收工作，依法征收水土保持补偿费。</w:t>
      </w:r>
    </w:p>
    <w:p w:rsidR="007C1B0E" w:rsidRPr="00B62FD3" w:rsidRDefault="007C1B0E" w:rsidP="007C1B0E">
      <w:pPr>
        <w:widowControl/>
        <w:ind w:firstLineChars="200" w:firstLine="640"/>
        <w:jc w:val="left"/>
        <w:rPr>
          <w:rFonts w:ascii="仿宋_GB2312" w:eastAsia="仿宋_GB2312" w:hAnsi="宋体" w:cs="宋体"/>
          <w:color w:val="505050"/>
          <w:kern w:val="0"/>
          <w:sz w:val="32"/>
          <w:szCs w:val="32"/>
        </w:rPr>
      </w:pPr>
      <w:r w:rsidRPr="00B62FD3">
        <w:rPr>
          <w:rFonts w:ascii="仿宋_GB2312" w:eastAsia="仿宋_GB2312" w:hAnsi="宋体" w:cs="宋体" w:hint="eastAsia"/>
          <w:color w:val="505050"/>
          <w:kern w:val="0"/>
          <w:sz w:val="32"/>
          <w:szCs w:val="32"/>
        </w:rPr>
        <w:t>依法负责水务系统安全生产的指导、监督。</w:t>
      </w:r>
    </w:p>
    <w:p w:rsidR="007C1B0E" w:rsidRPr="00B62FD3" w:rsidRDefault="007C1B0E" w:rsidP="007C1B0E">
      <w:pPr>
        <w:widowControl/>
        <w:jc w:val="left"/>
        <w:rPr>
          <w:rFonts w:ascii="宋体" w:hAnsi="宋体" w:cs="宋体"/>
          <w:color w:val="505050"/>
          <w:kern w:val="0"/>
          <w:sz w:val="27"/>
          <w:szCs w:val="27"/>
        </w:rPr>
      </w:pPr>
      <w:r w:rsidRPr="00B62FD3">
        <w:rPr>
          <w:rFonts w:ascii="仿宋_GB2312" w:eastAsia="仿宋_GB2312" w:hAnsi="宋体" w:cs="宋体" w:hint="eastAsia"/>
          <w:color w:val="505050"/>
          <w:kern w:val="0"/>
          <w:sz w:val="32"/>
          <w:szCs w:val="32"/>
        </w:rPr>
        <w:t>负责和承担水利工程移民的管理工作。</w:t>
      </w:r>
    </w:p>
    <w:p w:rsidR="007C1B0E" w:rsidRPr="00B62FD3" w:rsidRDefault="007C1B0E" w:rsidP="007C1B0E">
      <w:pPr>
        <w:widowControl/>
        <w:ind w:firstLineChars="200" w:firstLine="640"/>
        <w:jc w:val="left"/>
        <w:rPr>
          <w:rFonts w:ascii="宋体" w:hAnsi="宋体" w:cs="宋体"/>
          <w:color w:val="505050"/>
          <w:kern w:val="0"/>
          <w:sz w:val="27"/>
          <w:szCs w:val="27"/>
        </w:rPr>
      </w:pPr>
      <w:r w:rsidRPr="00B62FD3">
        <w:rPr>
          <w:rFonts w:ascii="仿宋_GB2312" w:eastAsia="仿宋_GB2312" w:hAnsi="宋体" w:cs="宋体" w:hint="eastAsia"/>
          <w:color w:val="505050"/>
          <w:kern w:val="0"/>
          <w:sz w:val="32"/>
          <w:szCs w:val="32"/>
        </w:rPr>
        <w:t>组织、协调、监督、指挥全县防汛防旱防风和防低温雨冰冻工作，对主要江河和重要水工程实施防汛抗旱调度和应急水量调度，组织编制县防汛防旱防风和防低温雨雪冰冻应急预案并组织实施，指导水利突发公共事件的应急管理工作。</w:t>
      </w:r>
    </w:p>
    <w:p w:rsidR="007C1B0E" w:rsidRPr="00B62FD3" w:rsidRDefault="007C1B0E" w:rsidP="007C1B0E">
      <w:pPr>
        <w:widowControl/>
        <w:ind w:firstLineChars="200" w:firstLine="640"/>
        <w:jc w:val="left"/>
        <w:rPr>
          <w:rFonts w:ascii="宋体" w:hAnsi="宋体" w:cs="宋体"/>
          <w:color w:val="505050"/>
          <w:kern w:val="0"/>
          <w:sz w:val="27"/>
          <w:szCs w:val="27"/>
        </w:rPr>
      </w:pPr>
      <w:r w:rsidRPr="00B62FD3">
        <w:rPr>
          <w:rFonts w:ascii="仿宋_GB2312" w:eastAsia="仿宋_GB2312" w:hAnsi="宋体" w:cs="宋体" w:hint="eastAsia"/>
          <w:color w:val="505050"/>
          <w:kern w:val="0"/>
          <w:sz w:val="32"/>
          <w:szCs w:val="32"/>
        </w:rPr>
        <w:t>负责全县城镇供排水、污水处理工作。研究拟订全县城镇供排水、污水处理的发展战略、中长期规划和年度计划，</w:t>
      </w:r>
      <w:r w:rsidRPr="00B62FD3">
        <w:rPr>
          <w:rFonts w:ascii="仿宋_GB2312" w:eastAsia="仿宋_GB2312" w:hAnsi="宋体" w:cs="宋体" w:hint="eastAsia"/>
          <w:color w:val="505050"/>
          <w:kern w:val="0"/>
          <w:sz w:val="32"/>
          <w:szCs w:val="32"/>
        </w:rPr>
        <w:lastRenderedPageBreak/>
        <w:t>并组织实施；指导、监督、协调县城供水；指导、监督、协调县城排水、污水处理工作及有关设施的建设和维护。</w:t>
      </w:r>
    </w:p>
    <w:p w:rsidR="007C1B0E" w:rsidRPr="00B62FD3" w:rsidRDefault="007C1B0E" w:rsidP="007C1B0E">
      <w:pPr>
        <w:rPr>
          <w:rFonts w:ascii="黑体" w:eastAsia="黑体" w:hAnsi="黑体" w:cs="黑体"/>
          <w:sz w:val="32"/>
          <w:szCs w:val="32"/>
        </w:rPr>
      </w:pPr>
    </w:p>
    <w:p w:rsidR="007C1B0E" w:rsidRPr="00B62FD3" w:rsidRDefault="007C1B0E" w:rsidP="007C1B0E">
      <w:pPr>
        <w:ind w:firstLine="640"/>
        <w:rPr>
          <w:rFonts w:ascii="仿宋_GB2312" w:eastAsia="仿宋_GB2312" w:hAnsi="仿宋_GB2312" w:cs="仿宋_GB2312"/>
          <w:sz w:val="32"/>
          <w:szCs w:val="32"/>
        </w:rPr>
      </w:pPr>
    </w:p>
    <w:p w:rsidR="007C1B0E" w:rsidRDefault="007C1B0E" w:rsidP="007C1B0E">
      <w:pPr>
        <w:rPr>
          <w:rFonts w:ascii="黑体" w:eastAsia="黑体" w:hAnsi="黑体" w:cs="黑体"/>
          <w:sz w:val="32"/>
          <w:szCs w:val="32"/>
        </w:rPr>
      </w:pPr>
      <w:r>
        <w:rPr>
          <w:rFonts w:ascii="黑体" w:eastAsia="黑体" w:hAnsi="黑体" w:cs="黑体" w:hint="eastAsia"/>
          <w:sz w:val="32"/>
          <w:szCs w:val="32"/>
        </w:rPr>
        <w:t xml:space="preserve">    二、机构设置</w:t>
      </w:r>
    </w:p>
    <w:p w:rsidR="007C1B0E" w:rsidRDefault="007C1B0E" w:rsidP="007C1B0E">
      <w:pPr>
        <w:spacing w:line="288" w:lineRule="auto"/>
        <w:ind w:firstLineChars="200" w:firstLine="640"/>
        <w:rPr>
          <w:rFonts w:ascii="仿宋_GB2312" w:eastAsia="仿宋_GB2312"/>
          <w:sz w:val="32"/>
          <w:szCs w:val="32"/>
        </w:rPr>
      </w:pPr>
      <w:r>
        <w:rPr>
          <w:rFonts w:ascii="仿宋_GB2312" w:eastAsia="仿宋_GB2312" w:hAnsi="仿宋_GB2312" w:cs="仿宋_GB2312" w:hint="eastAsia"/>
          <w:sz w:val="32"/>
          <w:szCs w:val="32"/>
        </w:rPr>
        <w:t>本部门预算为汇总预算，包括：水务局本级预算，以及纳入编制范围的下属单位预算。下属单位具体包括：</w:t>
      </w:r>
      <w:r>
        <w:rPr>
          <w:rFonts w:ascii="仿宋_GB2312" w:eastAsia="仿宋_GB2312" w:hint="eastAsia"/>
          <w:sz w:val="32"/>
          <w:szCs w:val="32"/>
        </w:rPr>
        <w:t>包括局本级和下属3个预算单位水质净化所、供排水服务站、堤围所。</w:t>
      </w:r>
    </w:p>
    <w:p w:rsidR="007C1B0E" w:rsidRDefault="007C1B0E" w:rsidP="007C1B0E">
      <w:pPr>
        <w:widowControl/>
        <w:spacing w:after="90" w:line="360" w:lineRule="atLeast"/>
        <w:ind w:firstLine="640"/>
        <w:jc w:val="left"/>
        <w:rPr>
          <w:rFonts w:ascii="仿宋_GB2312" w:eastAsia="仿宋_GB2312" w:hAnsi="宋体" w:cs="宋体"/>
          <w:color w:val="000000"/>
          <w:kern w:val="0"/>
          <w:sz w:val="32"/>
          <w:szCs w:val="32"/>
        </w:rPr>
      </w:pPr>
      <w:r>
        <w:rPr>
          <w:rFonts w:ascii="仿宋_GB2312" w:eastAsia="仿宋_GB2312" w:hAnsi="仿宋_GB2312" w:cs="仿宋_GB2312" w:hint="eastAsia"/>
          <w:sz w:val="32"/>
          <w:szCs w:val="32"/>
        </w:rPr>
        <w:t>本部门内设机构、人员构成情况：</w:t>
      </w:r>
      <w:r w:rsidRPr="005B111A">
        <w:rPr>
          <w:rFonts w:ascii="仿宋_GB2312" w:eastAsia="仿宋_GB2312" w:hAnsi="宋体" w:cs="宋体" w:hint="eastAsia"/>
          <w:color w:val="000000"/>
          <w:kern w:val="0"/>
          <w:sz w:val="32"/>
          <w:szCs w:val="32"/>
        </w:rPr>
        <w:t>县水务局机关行政编制</w:t>
      </w:r>
      <w:r>
        <w:rPr>
          <w:rFonts w:ascii="仿宋_GB2312" w:eastAsia="仿宋_GB2312" w:hAnsi="宋体" w:cs="宋体" w:hint="eastAsia"/>
          <w:color w:val="000000"/>
          <w:kern w:val="0"/>
          <w:sz w:val="32"/>
          <w:szCs w:val="32"/>
        </w:rPr>
        <w:t>25</w:t>
      </w:r>
      <w:r w:rsidRPr="005B111A">
        <w:rPr>
          <w:rFonts w:ascii="仿宋_GB2312" w:eastAsia="仿宋_GB2312" w:hAnsi="宋体" w:cs="宋体" w:hint="eastAsia"/>
          <w:color w:val="000000"/>
          <w:kern w:val="0"/>
          <w:sz w:val="32"/>
          <w:szCs w:val="32"/>
        </w:rPr>
        <w:t>名。其中局长1名，副局长</w:t>
      </w:r>
      <w:r>
        <w:rPr>
          <w:rFonts w:ascii="仿宋_GB2312" w:eastAsia="仿宋_GB2312" w:hAnsi="宋体" w:cs="宋体" w:hint="eastAsia"/>
          <w:color w:val="000000"/>
          <w:kern w:val="0"/>
          <w:sz w:val="32"/>
          <w:szCs w:val="32"/>
        </w:rPr>
        <w:t>4</w:t>
      </w:r>
      <w:r w:rsidRPr="005B111A">
        <w:rPr>
          <w:rFonts w:ascii="仿宋_GB2312" w:eastAsia="仿宋_GB2312" w:hAnsi="宋体" w:cs="宋体" w:hint="eastAsia"/>
          <w:color w:val="000000"/>
          <w:kern w:val="0"/>
          <w:sz w:val="32"/>
          <w:szCs w:val="32"/>
        </w:rPr>
        <w:t>名，正股长职数10名。副股长职数10名。后勤服务人员数3名</w:t>
      </w:r>
      <w:r>
        <w:rPr>
          <w:rFonts w:ascii="仿宋_GB2312" w:eastAsia="仿宋_GB2312" w:hAnsi="宋体" w:cs="宋体" w:hint="eastAsia"/>
          <w:color w:val="000000"/>
          <w:kern w:val="0"/>
          <w:sz w:val="32"/>
          <w:szCs w:val="32"/>
        </w:rPr>
        <w:t>，离退休人员54名</w:t>
      </w:r>
      <w:r w:rsidRPr="005B111A">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 xml:space="preserve"> </w:t>
      </w:r>
    </w:p>
    <w:p w:rsidR="007C1B0E" w:rsidRDefault="007C1B0E" w:rsidP="007C1B0E">
      <w:pPr>
        <w:widowControl/>
        <w:spacing w:after="90"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下属事业编制合计80人，实有在职人数51人。其中三防办，编制数4名，实际人数4人；水保办编制数6人，实际在岗人数5人；大埔县水政监察大队，编制数12名，实际12人；大埔县县城供排水服务站编制6名，实际在岗人数6名；大埔县县城水质净化所：编制6名，在职人数6名；大埔县县城堤围保护所：编制8名，在职8名，退休2名；大埔县水保站编制15名，实有人数2名；大埔县水利水电勘测设计室：编制13名，实有1人；大埔县水利工程建设服务中心：编制4名，实有4人；大埔县水利水电质量安全监督站：编制2名，实有2人。</w:t>
      </w:r>
    </w:p>
    <w:p w:rsidR="00505B4A" w:rsidRPr="007C1B0E" w:rsidRDefault="00505B4A">
      <w:pPr>
        <w:jc w:val="center"/>
        <w:rPr>
          <w:rFonts w:ascii="黑体" w:eastAsia="黑体" w:hAnsi="黑体" w:cs="黑体"/>
          <w:sz w:val="44"/>
          <w:szCs w:val="44"/>
        </w:rPr>
        <w:sectPr w:rsidR="00505B4A" w:rsidRPr="007C1B0E">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7C1B0E">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C1B0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C1B0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7C1B0E"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C1B0E">
              <w:rPr>
                <w:rFonts w:ascii="宋体" w:eastAsia="宋体" w:hAnsi="宋体" w:cs="Arial" w:hint="eastAsia"/>
                <w:color w:val="000000"/>
                <w:kern w:val="0"/>
                <w:sz w:val="20"/>
                <w:szCs w:val="20"/>
              </w:rPr>
              <w:t>1358.85</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E0E5E"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1358.85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871.07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97.86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375.92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1358.85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1358.85</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E0E5E"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E0E5E"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1358.85</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1358.85</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1358.85</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E0E5E">
              <w:rPr>
                <w:rFonts w:ascii="宋体" w:eastAsia="宋体" w:hAnsi="宋体" w:cs="Arial" w:hint="eastAsia"/>
                <w:color w:val="000000"/>
                <w:kern w:val="0"/>
                <w:sz w:val="20"/>
                <w:szCs w:val="20"/>
              </w:rPr>
              <w:t>1358.85</w:t>
            </w:r>
          </w:p>
        </w:tc>
      </w:tr>
    </w:tbl>
    <w:p w:rsidR="00505B4A" w:rsidRDefault="00505B4A"/>
    <w:tbl>
      <w:tblPr>
        <w:tblW w:w="0" w:type="auto"/>
        <w:tblInd w:w="93" w:type="dxa"/>
        <w:tblLook w:val="04A0"/>
      </w:tblPr>
      <w:tblGrid>
        <w:gridCol w:w="4772"/>
        <w:gridCol w:w="916"/>
        <w:gridCol w:w="1525"/>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1422D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1358.85</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1422D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1358.85</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422D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982.93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E0E5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982.93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422D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375.92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E0E5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375.92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422D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375.92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422D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375.92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1422DC"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1422D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1358.85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22D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871.07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22D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456.29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22D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24.48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22D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D1A0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97.86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D1A0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84.48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D1A0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D1A0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375.92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D1A0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171.41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1422DC"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r w:rsidR="001422DC">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422DC"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422D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422D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422D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422D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422D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1422DC"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1422D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1422D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1422D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6"/>
        <w:gridCol w:w="1116"/>
        <w:gridCol w:w="1116"/>
        <w:gridCol w:w="1116"/>
        <w:gridCol w:w="416"/>
        <w:gridCol w:w="416"/>
        <w:gridCol w:w="4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1422DC"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1422DC"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1422DC"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1422DC">
              <w:rPr>
                <w:rFonts w:ascii="宋体" w:eastAsia="宋体" w:hAnsi="宋体" w:cs="Arial" w:hint="eastAsia"/>
                <w:kern w:val="0"/>
                <w:sz w:val="20"/>
                <w:szCs w:val="20"/>
              </w:rPr>
              <w:t>1358.85</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1422DC">
              <w:rPr>
                <w:rFonts w:ascii="宋体" w:eastAsia="宋体" w:hAnsi="宋体" w:cs="Arial" w:hint="eastAsia"/>
                <w:kern w:val="0"/>
                <w:sz w:val="20"/>
                <w:szCs w:val="20"/>
              </w:rPr>
              <w:t>1358.85</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1422DC">
              <w:rPr>
                <w:rFonts w:ascii="宋体" w:eastAsia="宋体" w:hAnsi="宋体" w:cs="Arial" w:hint="eastAsia"/>
                <w:kern w:val="0"/>
                <w:sz w:val="20"/>
                <w:szCs w:val="20"/>
              </w:rPr>
              <w:t>1358.85</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1422DC"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1422DC"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1422DC"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1422DC"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7D75AE">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7D75AE" w:rsidRPr="00C85FFD" w:rsidRDefault="007D75AE" w:rsidP="007D75AE">
      <w:pPr>
        <w:pStyle w:val="a6"/>
        <w:spacing w:before="100" w:beforeAutospacing="1"/>
        <w:ind w:leftChars="200" w:left="420" w:firstLineChars="100" w:firstLine="320"/>
        <w:rPr>
          <w:rFonts w:ascii="仿宋" w:eastAsia="仿宋" w:hAnsi="仿宋"/>
          <w:sz w:val="32"/>
          <w:szCs w:val="32"/>
        </w:rPr>
      </w:pPr>
      <w:r>
        <w:rPr>
          <w:rFonts w:ascii="仿宋" w:eastAsia="仿宋" w:hAnsi="仿宋" w:hint="eastAsia"/>
          <w:sz w:val="32"/>
          <w:szCs w:val="32"/>
        </w:rPr>
        <w:t>2018</w:t>
      </w:r>
      <w:r w:rsidRPr="00C85FFD">
        <w:rPr>
          <w:rFonts w:ascii="仿宋" w:eastAsia="仿宋" w:hAnsi="仿宋" w:hint="eastAsia"/>
          <w:sz w:val="32"/>
          <w:szCs w:val="32"/>
        </w:rPr>
        <w:t xml:space="preserve">年部门预算支出数为 </w:t>
      </w:r>
      <w:r>
        <w:rPr>
          <w:rFonts w:ascii="仿宋" w:eastAsia="仿宋" w:hAnsi="仿宋" w:hint="eastAsia"/>
          <w:sz w:val="32"/>
          <w:szCs w:val="32"/>
        </w:rPr>
        <w:t>1358.85</w:t>
      </w:r>
      <w:r w:rsidRPr="00C85FFD">
        <w:rPr>
          <w:rFonts w:ascii="仿宋" w:eastAsia="仿宋" w:hAnsi="仿宋" w:hint="eastAsia"/>
          <w:sz w:val="32"/>
          <w:szCs w:val="32"/>
        </w:rPr>
        <w:t xml:space="preserve"> 万元，其中：基本支出预算</w:t>
      </w:r>
      <w:r>
        <w:rPr>
          <w:rFonts w:ascii="仿宋" w:eastAsia="仿宋" w:hAnsi="仿宋" w:hint="eastAsia"/>
          <w:sz w:val="32"/>
          <w:szCs w:val="32"/>
        </w:rPr>
        <w:t>1358.85</w:t>
      </w:r>
      <w:r w:rsidRPr="00C85FFD">
        <w:rPr>
          <w:rFonts w:ascii="仿宋" w:eastAsia="仿宋" w:hAnsi="仿宋" w:hint="eastAsia"/>
          <w:sz w:val="32"/>
          <w:szCs w:val="32"/>
        </w:rPr>
        <w:t>万元，</w:t>
      </w:r>
      <w:r>
        <w:rPr>
          <w:rFonts w:ascii="仿宋" w:eastAsia="仿宋" w:hAnsi="仿宋" w:hint="eastAsia"/>
          <w:sz w:val="32"/>
          <w:szCs w:val="32"/>
        </w:rPr>
        <w:t>无项目支出，</w:t>
      </w:r>
      <w:r w:rsidRPr="00C85FFD">
        <w:rPr>
          <w:rFonts w:ascii="仿宋" w:eastAsia="仿宋" w:hAnsi="仿宋" w:hint="eastAsia"/>
          <w:sz w:val="32"/>
          <w:szCs w:val="32"/>
        </w:rPr>
        <w:t>其中：工资福利支出</w:t>
      </w:r>
      <w:r>
        <w:rPr>
          <w:rFonts w:ascii="仿宋" w:eastAsia="仿宋" w:hAnsi="仿宋" w:hint="eastAsia"/>
          <w:sz w:val="32"/>
          <w:szCs w:val="32"/>
        </w:rPr>
        <w:t>871.07</w:t>
      </w:r>
      <w:r w:rsidRPr="00C85FFD">
        <w:rPr>
          <w:rFonts w:ascii="仿宋" w:eastAsia="仿宋" w:hAnsi="仿宋" w:hint="eastAsia"/>
          <w:sz w:val="32"/>
          <w:szCs w:val="32"/>
        </w:rPr>
        <w:t>万元；一般商品和服务支出</w:t>
      </w:r>
      <w:r>
        <w:rPr>
          <w:rFonts w:ascii="仿宋" w:eastAsia="仿宋" w:hAnsi="仿宋" w:hint="eastAsia"/>
          <w:sz w:val="32"/>
          <w:szCs w:val="32"/>
        </w:rPr>
        <w:t>97.86</w:t>
      </w:r>
      <w:r w:rsidRPr="00C85FFD">
        <w:rPr>
          <w:rFonts w:ascii="仿宋" w:eastAsia="仿宋" w:hAnsi="仿宋" w:hint="eastAsia"/>
          <w:sz w:val="32"/>
          <w:szCs w:val="32"/>
        </w:rPr>
        <w:t>万元 ；对个人和家庭的补助</w:t>
      </w:r>
      <w:r>
        <w:rPr>
          <w:rFonts w:ascii="仿宋" w:eastAsia="仿宋" w:hAnsi="仿宋" w:hint="eastAsia"/>
          <w:sz w:val="32"/>
          <w:szCs w:val="32"/>
        </w:rPr>
        <w:t>375.92</w:t>
      </w:r>
      <w:r w:rsidRPr="00C85FFD">
        <w:rPr>
          <w:rFonts w:ascii="仿宋" w:eastAsia="仿宋" w:hAnsi="仿宋" w:hint="eastAsia"/>
          <w:sz w:val="32"/>
          <w:szCs w:val="32"/>
        </w:rPr>
        <w:t>万元。</w:t>
      </w:r>
    </w:p>
    <w:p w:rsidR="007D75AE" w:rsidRPr="007D75AE" w:rsidRDefault="007D75AE" w:rsidP="007D75AE">
      <w:pPr>
        <w:ind w:left="640"/>
        <w:rPr>
          <w:rFonts w:ascii="黑体" w:eastAsia="黑体" w:hAnsi="黑体" w:cs="黑体"/>
          <w:sz w:val="32"/>
          <w:szCs w:val="32"/>
        </w:rPr>
      </w:pPr>
    </w:p>
    <w:p w:rsidR="00505B4A" w:rsidRDefault="007D75AE">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sidR="003F7E37">
        <w:rPr>
          <w:rFonts w:ascii="黑体" w:eastAsia="黑体" w:hAnsi="黑体" w:cs="黑体" w:hint="eastAsia"/>
          <w:sz w:val="32"/>
          <w:szCs w:val="32"/>
        </w:rPr>
        <w:t>“三公”经费安排情况说明</w:t>
      </w:r>
    </w:p>
    <w:p w:rsidR="007D75AE" w:rsidRPr="007D75AE" w:rsidRDefault="007D75AE" w:rsidP="007D75AE">
      <w:pPr>
        <w:pStyle w:val="a6"/>
        <w:ind w:left="420" w:firstLineChars="0" w:firstLine="0"/>
        <w:rPr>
          <w:rFonts w:ascii="黑体" w:eastAsia="黑体" w:hAnsi="黑体" w:cs="黑体"/>
          <w:sz w:val="32"/>
          <w:szCs w:val="32"/>
        </w:rPr>
      </w:pPr>
      <w:r>
        <w:rPr>
          <w:rFonts w:ascii="仿宋" w:eastAsia="仿宋" w:hAnsi="仿宋" w:hint="eastAsia"/>
          <w:sz w:val="32"/>
          <w:szCs w:val="32"/>
        </w:rPr>
        <w:t>2018</w:t>
      </w:r>
      <w:r w:rsidRPr="007D75AE">
        <w:rPr>
          <w:rFonts w:ascii="仿宋" w:eastAsia="仿宋" w:hAnsi="仿宋" w:hint="eastAsia"/>
          <w:sz w:val="32"/>
          <w:szCs w:val="32"/>
        </w:rPr>
        <w:t>年，一般公共预算拨款“三公”经费支出合计3万元，与上年持平。其中：因公出国（境）费0万元；公务用车购置及运行费3万元（其中公务用车购置0万元，公务用车运行维护费3万元），占0%。公务接待费0万元，占100%，</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变）。</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7D75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97.86</w:t>
      </w:r>
      <w:r w:rsidR="003F7E37">
        <w:rPr>
          <w:rFonts w:ascii="仿宋_GB2312" w:eastAsia="仿宋_GB2312" w:hAnsi="仿宋_GB2312" w:cs="仿宋_GB2312" w:hint="eastAsia"/>
          <w:sz w:val="32"/>
          <w:szCs w:val="32"/>
        </w:rPr>
        <w:t>万元，其中：办公费</w:t>
      </w:r>
      <w:r>
        <w:rPr>
          <w:rFonts w:ascii="仿宋_GB2312" w:eastAsia="仿宋_GB2312" w:hAnsi="仿宋_GB2312" w:cs="仿宋_GB2312" w:hint="eastAsia"/>
          <w:sz w:val="32"/>
          <w:szCs w:val="32"/>
        </w:rPr>
        <w:t>84.48</w:t>
      </w:r>
      <w:r w:rsidR="003F7E37">
        <w:rPr>
          <w:rFonts w:ascii="仿宋_GB2312" w:eastAsia="仿宋_GB2312" w:hAnsi="仿宋_GB2312" w:cs="仿宋_GB2312" w:hint="eastAsia"/>
          <w:sz w:val="32"/>
          <w:szCs w:val="32"/>
        </w:rPr>
        <w:t>，办公用房物业管理费</w:t>
      </w:r>
      <w:r>
        <w:rPr>
          <w:rFonts w:ascii="仿宋_GB2312" w:eastAsia="仿宋_GB2312" w:hAnsi="仿宋_GB2312" w:cs="仿宋_GB2312" w:hint="eastAsia"/>
          <w:sz w:val="32"/>
          <w:szCs w:val="32"/>
        </w:rPr>
        <w:t>10.38万元</w:t>
      </w:r>
      <w:r w:rsidR="003F7E37">
        <w:rPr>
          <w:rFonts w:ascii="仿宋_GB2312" w:eastAsia="仿宋_GB2312" w:hAnsi="仿宋_GB2312" w:cs="仿宋_GB2312" w:hint="eastAsia"/>
          <w:sz w:val="32"/>
          <w:szCs w:val="32"/>
        </w:rPr>
        <w:t>，公务用车</w:t>
      </w:r>
      <w:r w:rsidR="003F7E37">
        <w:rPr>
          <w:rFonts w:ascii="仿宋_GB2312" w:eastAsia="仿宋_GB2312" w:hAnsi="仿宋_GB2312" w:cs="仿宋_GB2312" w:hint="eastAsia"/>
          <w:sz w:val="32"/>
          <w:szCs w:val="32"/>
        </w:rPr>
        <w:lastRenderedPageBreak/>
        <w:t>运行维护费</w:t>
      </w:r>
      <w:r>
        <w:rPr>
          <w:rFonts w:ascii="仿宋_GB2312" w:eastAsia="仿宋_GB2312" w:hAnsi="仿宋_GB2312" w:cs="仿宋_GB2312" w:hint="eastAsia"/>
          <w:sz w:val="32"/>
          <w:szCs w:val="32"/>
        </w:rPr>
        <w:t>3万元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7D75AE" w:rsidRPr="001E7024" w:rsidRDefault="003F7E37" w:rsidP="007D75AE">
      <w:pPr>
        <w:pStyle w:val="a6"/>
        <w:spacing w:line="580" w:lineRule="exact"/>
        <w:ind w:left="720" w:firstLineChars="0" w:firstLine="0"/>
        <w:rPr>
          <w:rFonts w:ascii="仿宋_GB2312" w:eastAsia="仿宋_GB2312"/>
          <w:b/>
          <w:sz w:val="32"/>
          <w:szCs w:val="32"/>
        </w:rPr>
      </w:pPr>
      <w:r>
        <w:rPr>
          <w:rFonts w:ascii="仿宋_GB2312" w:eastAsia="仿宋_GB2312" w:hAnsi="仿宋_GB2312" w:cs="仿宋_GB2312" w:hint="eastAsia"/>
          <w:sz w:val="32"/>
          <w:szCs w:val="32"/>
        </w:rPr>
        <w:t xml:space="preserve"> </w:t>
      </w:r>
      <w:r w:rsidR="007D75AE">
        <w:rPr>
          <w:rFonts w:ascii="仿宋_GB2312" w:eastAsia="仿宋_GB2312" w:hint="eastAsia"/>
          <w:sz w:val="32"/>
          <w:szCs w:val="32"/>
        </w:rPr>
        <w:t>无政府采购计划</w:t>
      </w:r>
    </w:p>
    <w:p w:rsidR="007D75AE" w:rsidRPr="007D75AE" w:rsidRDefault="007D75AE" w:rsidP="007D75AE">
      <w:pPr>
        <w:rPr>
          <w:rFonts w:ascii="仿宋_GB2312" w:eastAsia="仿宋_GB2312" w:hAnsi="仿宋_GB2312" w:cs="仿宋_GB2312"/>
          <w:sz w:val="32"/>
          <w:szCs w:val="32"/>
        </w:rPr>
      </w:pPr>
    </w:p>
    <w:p w:rsidR="00505B4A" w:rsidRDefault="007D75AE" w:rsidP="007D75AE">
      <w:pPr>
        <w:ind w:firstLineChars="250" w:firstLine="800"/>
        <w:rPr>
          <w:rFonts w:ascii="黑体" w:eastAsia="黑体" w:hAnsi="黑体" w:cs="黑体"/>
          <w:sz w:val="32"/>
          <w:szCs w:val="32"/>
        </w:rPr>
      </w:pPr>
      <w:r>
        <w:rPr>
          <w:rFonts w:ascii="黑体" w:eastAsia="黑体" w:hAnsi="黑体" w:cs="黑体" w:hint="eastAsia"/>
          <w:sz w:val="32"/>
          <w:szCs w:val="32"/>
        </w:rPr>
        <w:t>五、</w:t>
      </w:r>
      <w:r w:rsidR="003F7E37">
        <w:rPr>
          <w:rFonts w:ascii="黑体" w:eastAsia="黑体" w:hAnsi="黑体" w:cs="黑体" w:hint="eastAsia"/>
          <w:sz w:val="32"/>
          <w:szCs w:val="32"/>
        </w:rPr>
        <w:t>国有资产占有使用情况</w:t>
      </w:r>
    </w:p>
    <w:p w:rsidR="007D75AE" w:rsidRPr="001E7024" w:rsidRDefault="007D75AE" w:rsidP="007D75AE">
      <w:pPr>
        <w:pStyle w:val="a6"/>
        <w:spacing w:line="580" w:lineRule="exact"/>
        <w:ind w:left="720" w:firstLineChars="0" w:firstLine="0"/>
        <w:rPr>
          <w:rFonts w:ascii="仿宋_GB2312" w:eastAsia="仿宋_GB2312"/>
          <w:b/>
          <w:sz w:val="32"/>
          <w:szCs w:val="32"/>
        </w:rPr>
      </w:pPr>
      <w:r>
        <w:rPr>
          <w:rFonts w:ascii="仿宋_GB2312" w:eastAsia="仿宋_GB2312" w:hAnsi="仿宋_GB2312" w:cs="仿宋_GB2312" w:hint="eastAsia"/>
          <w:sz w:val="32"/>
          <w:szCs w:val="32"/>
        </w:rPr>
        <w:t xml:space="preserve">  </w:t>
      </w:r>
      <w:r w:rsidRPr="001E7024">
        <w:rPr>
          <w:rFonts w:ascii="仿宋_GB2312" w:eastAsia="仿宋_GB2312" w:hint="eastAsia"/>
          <w:sz w:val="32"/>
          <w:szCs w:val="32"/>
        </w:rPr>
        <w:t>截至</w:t>
      </w:r>
      <w:r>
        <w:rPr>
          <w:rFonts w:ascii="仿宋_GB2312" w:eastAsia="仿宋_GB2312" w:hint="eastAsia"/>
          <w:sz w:val="32"/>
          <w:szCs w:val="32"/>
        </w:rPr>
        <w:t>2018</w:t>
      </w:r>
      <w:r w:rsidRPr="001E7024">
        <w:rPr>
          <w:rFonts w:ascii="仿宋_GB2312" w:eastAsia="仿宋_GB2312" w:hint="eastAsia"/>
          <w:sz w:val="32"/>
          <w:szCs w:val="32"/>
        </w:rPr>
        <w:t>年12月31日，本部门共有车辆</w:t>
      </w:r>
      <w:r>
        <w:rPr>
          <w:rFonts w:ascii="仿宋_GB2312" w:eastAsia="仿宋_GB2312" w:hint="eastAsia"/>
          <w:sz w:val="32"/>
          <w:szCs w:val="32"/>
        </w:rPr>
        <w:t>1</w:t>
      </w:r>
      <w:r w:rsidRPr="001E7024">
        <w:rPr>
          <w:rFonts w:ascii="仿宋_GB2312" w:eastAsia="仿宋_GB2312" w:hint="eastAsia"/>
          <w:sz w:val="32"/>
          <w:szCs w:val="32"/>
        </w:rPr>
        <w:t>辆，其中，一般公务用车1辆（用于机要通信、应急工作）</w:t>
      </w:r>
    </w:p>
    <w:p w:rsidR="00505B4A" w:rsidRDefault="007D75AE" w:rsidP="007D75AE">
      <w:pPr>
        <w:ind w:firstLineChars="250" w:firstLine="800"/>
        <w:rPr>
          <w:rFonts w:ascii="黑体" w:eastAsia="黑体" w:hAnsi="黑体" w:cs="黑体"/>
          <w:sz w:val="32"/>
          <w:szCs w:val="32"/>
        </w:rPr>
      </w:pPr>
      <w:r>
        <w:rPr>
          <w:rFonts w:ascii="黑体" w:eastAsia="黑体" w:hAnsi="黑体" w:cs="黑体" w:hint="eastAsia"/>
          <w:sz w:val="32"/>
          <w:szCs w:val="32"/>
        </w:rPr>
        <w:t xml:space="preserve">六 、  </w:t>
      </w:r>
      <w:r w:rsidR="003F7E37">
        <w:rPr>
          <w:rFonts w:ascii="黑体" w:eastAsia="黑体" w:hAnsi="黑体" w:cs="黑体" w:hint="eastAsia"/>
          <w:sz w:val="32"/>
          <w:szCs w:val="32"/>
        </w:rPr>
        <w:t>预算绩效信息公开情况</w:t>
      </w:r>
    </w:p>
    <w:p w:rsidR="00505B4A" w:rsidRDefault="007D75A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年，本部门推进预算绩效信息公开的有关工作情况。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财政拨款收入：指财政当年拨付的资金。</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事业收入：指事业单位开展专业业务活动及辅助活动所取得的收入。</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其他收入：指除上述“财政拨款收入”、“事业收入”等以外 的收入。主要是银行存款利息收入等。</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用事业基金弥补收支差额：指事业单位在当年的“财政拨款 收入”、“事业收入”、“经营收入”、“其他收入”不足以安排当年支出的情况下，使用以前年度积累的事业基金（事业单位当年收支相抵后按国家规定提取、用于弥补以后年度收支</w:t>
      </w:r>
      <w:r w:rsidRPr="000C4B3A">
        <w:rPr>
          <w:rFonts w:ascii="仿宋" w:eastAsia="仿宋" w:hAnsi="仿宋" w:hint="eastAsia"/>
          <w:sz w:val="32"/>
          <w:szCs w:val="32"/>
        </w:rPr>
        <w:lastRenderedPageBreak/>
        <w:t>差额的基金） 弥补本年度收支缺口的资金。</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年初结转和结余：指以前年度尚未完成、结转到本年按有关规定继续使用的资金。</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一般公共服务（类）民政事务（款）行政运行（项）：指民政局行政单位及下属事业单位用于保障机构正常运行、开展日常工作的支出。</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社会保障和就业（类）行政事业单位离退休（款）归口管理的行政单位离退休（项）：指民政局行政单位离退休人员的支出。</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社会保障和就业（类）行政事业单位离退休（款）事业单位离退休人员（项）：指民政局下属事业单位离退休人员的支出。</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社会保障和就业（类）行政事业单位离退休（款）其他行政事业单位离退休支出（项）：指行政事业单位离退休人员的其他支出。</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结余分配：指事业单位按规定提取的职工福利基金、事业基金和缴纳的所得税，以及建设单位按规定应交回的基本建设竣工项目结余资金。</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年末结转和结余：指本年度或以前年度预算安排、因客观条件发生变化无法按原计划实施，需要延迟到以后年度按有关规定 继续使用的资金。</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基本支出：指为保障机构正常运转、完成日常工作任务</w:t>
      </w:r>
      <w:r w:rsidRPr="000C4B3A">
        <w:rPr>
          <w:rFonts w:ascii="仿宋" w:eastAsia="仿宋" w:hAnsi="仿宋" w:hint="eastAsia"/>
          <w:sz w:val="32"/>
          <w:szCs w:val="32"/>
        </w:rPr>
        <w:lastRenderedPageBreak/>
        <w:t>而发生的人员支出和公用支出。</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项目支出：指在基本支出之外为完成特定行政任务和事业发展目标所发生的支出。</w:t>
      </w:r>
    </w:p>
    <w:p w:rsidR="00606E48" w:rsidRPr="000C4B3A" w:rsidRDefault="00606E48" w:rsidP="00606E48">
      <w:pPr>
        <w:spacing w:line="360" w:lineRule="auto"/>
        <w:ind w:firstLineChars="200" w:firstLine="640"/>
        <w:rPr>
          <w:rFonts w:ascii="仿宋" w:eastAsia="仿宋" w:hAnsi="仿宋"/>
          <w:sz w:val="32"/>
          <w:szCs w:val="32"/>
        </w:rPr>
      </w:pPr>
      <w:r w:rsidRPr="000C4B3A">
        <w:rPr>
          <w:rFonts w:ascii="仿宋" w:eastAsia="仿宋" w:hAnsi="仿宋" w:hint="eastAsia"/>
          <w:sz w:val="32"/>
          <w:szCs w:val="32"/>
        </w:rPr>
        <w:t>“三公”经费：纳入财政预决算管理的“三公”经费，是指民政局及下属事业单位用财政拨款安排的因公出国（境）费、公务用车购置及运行费和公务接待费。其中，因公出国（境）费反映单位公务 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06E48" w:rsidRPr="000C4B3A" w:rsidRDefault="00606E48" w:rsidP="00606E48">
      <w:pPr>
        <w:spacing w:line="360" w:lineRule="auto"/>
        <w:ind w:firstLine="200"/>
        <w:rPr>
          <w:rFonts w:ascii="仿宋" w:eastAsia="仿宋" w:hAnsi="仿宋"/>
          <w:sz w:val="32"/>
          <w:szCs w:val="32"/>
        </w:rPr>
      </w:pPr>
    </w:p>
    <w:p w:rsidR="00505B4A" w:rsidRPr="00606E48" w:rsidRDefault="00505B4A">
      <w:pPr>
        <w:ind w:firstLineChars="200" w:firstLine="640"/>
        <w:jc w:val="left"/>
        <w:rPr>
          <w:rFonts w:ascii="楷体_GB2312" w:eastAsia="楷体_GB2312" w:hAnsi="楷体_GB2312" w:cs="楷体_GB2312"/>
          <w:sz w:val="32"/>
          <w:szCs w:val="32"/>
          <w:highlight w:val="lightGray"/>
        </w:rPr>
      </w:pPr>
    </w:p>
    <w:p w:rsidR="00505B4A" w:rsidRDefault="00505B4A">
      <w:pPr>
        <w:ind w:firstLineChars="200" w:firstLine="640"/>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A6" w:rsidRDefault="00D77FA6" w:rsidP="00E766CE">
      <w:r>
        <w:separator/>
      </w:r>
    </w:p>
  </w:endnote>
  <w:endnote w:type="continuationSeparator" w:id="1">
    <w:p w:rsidR="00D77FA6" w:rsidRDefault="00D77FA6" w:rsidP="00E76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A6" w:rsidRDefault="00D77FA6" w:rsidP="00E766CE">
      <w:r>
        <w:separator/>
      </w:r>
    </w:p>
  </w:footnote>
  <w:footnote w:type="continuationSeparator" w:id="1">
    <w:p w:rsidR="00D77FA6" w:rsidRDefault="00D77FA6" w:rsidP="00E76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777B2"/>
    <w:multiLevelType w:val="hybridMultilevel"/>
    <w:tmpl w:val="2A44E172"/>
    <w:lvl w:ilvl="0" w:tplc="C0B8C57E">
      <w:start w:val="1"/>
      <w:numFmt w:val="japaneseCounting"/>
      <w:lvlText w:val="第%1部"/>
      <w:lvlJc w:val="left"/>
      <w:pPr>
        <w:ind w:left="1900" w:hanging="12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51744"/>
    <w:rsid w:val="000A5401"/>
    <w:rsid w:val="000C3537"/>
    <w:rsid w:val="001422DC"/>
    <w:rsid w:val="001A6815"/>
    <w:rsid w:val="0021547A"/>
    <w:rsid w:val="0024119B"/>
    <w:rsid w:val="003F7E37"/>
    <w:rsid w:val="0040395A"/>
    <w:rsid w:val="0048089B"/>
    <w:rsid w:val="00505B4A"/>
    <w:rsid w:val="00555114"/>
    <w:rsid w:val="005F7D91"/>
    <w:rsid w:val="00606E48"/>
    <w:rsid w:val="006255B8"/>
    <w:rsid w:val="0066405C"/>
    <w:rsid w:val="007C1B0E"/>
    <w:rsid w:val="007D75AE"/>
    <w:rsid w:val="007E0E5E"/>
    <w:rsid w:val="00854799"/>
    <w:rsid w:val="008C31CC"/>
    <w:rsid w:val="00925C68"/>
    <w:rsid w:val="00A04A53"/>
    <w:rsid w:val="00A217B1"/>
    <w:rsid w:val="00A221BF"/>
    <w:rsid w:val="00A50396"/>
    <w:rsid w:val="00A56614"/>
    <w:rsid w:val="00A84CE6"/>
    <w:rsid w:val="00B33320"/>
    <w:rsid w:val="00BA372D"/>
    <w:rsid w:val="00BD7887"/>
    <w:rsid w:val="00BF50CA"/>
    <w:rsid w:val="00C87A8E"/>
    <w:rsid w:val="00CF3C31"/>
    <w:rsid w:val="00D0003E"/>
    <w:rsid w:val="00D77FA6"/>
    <w:rsid w:val="00DA497E"/>
    <w:rsid w:val="00E766CE"/>
    <w:rsid w:val="00EA3A29"/>
    <w:rsid w:val="00EA4F11"/>
    <w:rsid w:val="00ED1A09"/>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E766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766CE"/>
    <w:rPr>
      <w:rFonts w:asciiTheme="minorHAnsi" w:eastAsiaTheme="minorEastAsia" w:hAnsiTheme="minorHAnsi" w:cstheme="minorBidi"/>
      <w:kern w:val="2"/>
      <w:sz w:val="18"/>
      <w:szCs w:val="18"/>
    </w:rPr>
  </w:style>
  <w:style w:type="paragraph" w:styleId="a5">
    <w:name w:val="footer"/>
    <w:basedOn w:val="a"/>
    <w:link w:val="Char1"/>
    <w:rsid w:val="00E766CE"/>
    <w:pPr>
      <w:tabs>
        <w:tab w:val="center" w:pos="4153"/>
        <w:tab w:val="right" w:pos="8306"/>
      </w:tabs>
      <w:snapToGrid w:val="0"/>
      <w:jc w:val="left"/>
    </w:pPr>
    <w:rPr>
      <w:sz w:val="18"/>
      <w:szCs w:val="18"/>
    </w:rPr>
  </w:style>
  <w:style w:type="character" w:customStyle="1" w:styleId="Char1">
    <w:name w:val="页脚 Char"/>
    <w:basedOn w:val="a0"/>
    <w:link w:val="a5"/>
    <w:rsid w:val="00E766CE"/>
    <w:rPr>
      <w:rFonts w:asciiTheme="minorHAnsi" w:eastAsiaTheme="minorEastAsia" w:hAnsiTheme="minorHAnsi" w:cstheme="minorBidi"/>
      <w:kern w:val="2"/>
      <w:sz w:val="18"/>
      <w:szCs w:val="18"/>
    </w:rPr>
  </w:style>
  <w:style w:type="paragraph" w:styleId="a6">
    <w:name w:val="List Paragraph"/>
    <w:basedOn w:val="a"/>
    <w:uiPriority w:val="99"/>
    <w:unhideWhenUsed/>
    <w:rsid w:val="007C1B0E"/>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40</cp:revision>
  <cp:lastPrinted>2018-02-09T07:39:00Z</cp:lastPrinted>
  <dcterms:created xsi:type="dcterms:W3CDTF">2018-03-30T01:37:00Z</dcterms:created>
  <dcterms:modified xsi:type="dcterms:W3CDTF">2018-04-16T02:21:00Z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