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B80EAA" w:rsidRDefault="00B80EA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E2749" w:rsidRDefault="005E274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B80EAA" w:rsidRDefault="00D35A53" w:rsidP="00B80E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 w:rsidR="003F7E37" w:rsidRPr="00B80E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B80EAA" w:rsidRPr="00B80E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大埔县公园管理办公室</w:t>
      </w:r>
    </w:p>
    <w:p w:rsidR="00505B4A" w:rsidRPr="00B80EAA" w:rsidRDefault="003F7E37" w:rsidP="00B80E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80EAA"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</w:t>
      </w:r>
      <w:r w:rsidR="00B80E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 w:rsidR="00B80EAA">
        <w:rPr>
          <w:rFonts w:ascii="黑体" w:eastAsia="黑体" w:hAnsi="黑体" w:cs="黑体" w:hint="eastAsia"/>
          <w:sz w:val="32"/>
          <w:szCs w:val="32"/>
        </w:rPr>
        <w:t xml:space="preserve">  大埔县公园办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D35A53">
        <w:rPr>
          <w:rFonts w:ascii="黑体" w:eastAsia="黑体" w:hAnsi="黑体" w:cs="黑体" w:hint="eastAsia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收支总体情况表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收入总体情况表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支出总体情况表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财政拨款收支总体情况表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一般公共预算支出情况表（按功能分类科目）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一般公共预算基本支出情况表（按支出经济分类科目）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一般公共预算项目支出情况表（按支出经济分类科目）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一般公共预算安排的行政经费及“三公”经费预算表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政府性基金预算支出情况表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部门预算基本支出预算表</w:t>
      </w:r>
    </w:p>
    <w:p w:rsidR="00505B4A" w:rsidRPr="00B80EA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B80EAA">
        <w:rPr>
          <w:rFonts w:ascii="仿宋_GB2312" w:eastAsia="仿宋_GB2312" w:hAnsi="仿宋_GB2312" w:cs="仿宋_GB2312" w:hint="eastAsia"/>
          <w:sz w:val="30"/>
          <w:szCs w:val="30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D35A53">
        <w:rPr>
          <w:rFonts w:ascii="黑体" w:eastAsia="黑体" w:hAnsi="黑体" w:cs="黑体" w:hint="eastAsia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B80EAA" w:rsidRDefault="00B80E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0EAA" w:rsidRDefault="00B80E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B80EA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D35A53">
        <w:rPr>
          <w:rFonts w:asciiTheme="minorEastAsia" w:hAnsiTheme="minorEastAsia" w:cs="方正小标宋简体" w:hint="eastAsia"/>
          <w:b/>
          <w:sz w:val="44"/>
          <w:szCs w:val="44"/>
        </w:rPr>
        <w:t>2018</w:t>
      </w:r>
      <w:r w:rsidR="00B80EAA" w:rsidRPr="00B80EAA">
        <w:rPr>
          <w:rFonts w:asciiTheme="minorEastAsia" w:hAnsiTheme="minorEastAsia" w:cs="方正小标宋简体" w:hint="eastAsia"/>
          <w:b/>
          <w:sz w:val="44"/>
          <w:szCs w:val="44"/>
        </w:rPr>
        <w:t>年县公园办</w:t>
      </w:r>
      <w:r w:rsidRPr="00B80EAA">
        <w:rPr>
          <w:rFonts w:asciiTheme="minorEastAsia" w:hAnsiTheme="minorEastAsia" w:cs="方正小标宋简体" w:hint="eastAsia"/>
          <w:b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505B4A" w:rsidRPr="004C1756" w:rsidRDefault="00B80EAA" w:rsidP="006555C0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4C1756">
        <w:rPr>
          <w:rFonts w:asciiTheme="minorEastAsia" w:hAnsiTheme="minorEastAsia" w:cs="仿宋_GB2312" w:hint="eastAsia"/>
          <w:sz w:val="32"/>
          <w:szCs w:val="32"/>
        </w:rPr>
        <w:t>县公园办的主要职能是：为提供干净整洁休闲场所，丰富人民群众</w:t>
      </w:r>
      <w:r w:rsidR="00853689" w:rsidRPr="004C1756">
        <w:rPr>
          <w:rFonts w:asciiTheme="minorEastAsia" w:hAnsiTheme="minorEastAsia" w:cs="仿宋_GB2312" w:hint="eastAsia"/>
          <w:sz w:val="32"/>
          <w:szCs w:val="32"/>
        </w:rPr>
        <w:t>文化生活。公园管理办公室对西湖公园、滨江公园、长寿公园及梅河公园内的设施及维护，公园绿化卫生管理。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853689" w:rsidRDefault="00853689" w:rsidP="00853689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大埔县公园管理办公室是财政一类补助副科级事业单位，核定事业编制</w:t>
      </w:r>
      <w:r>
        <w:rPr>
          <w:rFonts w:asciiTheme="majorEastAsia" w:eastAsiaTheme="majorEastAsia" w:hAnsiTheme="majorEastAsia"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sz w:val="32"/>
          <w:szCs w:val="32"/>
        </w:rPr>
        <w:t>名，下属单位有滨江公园服务所，核定事业编制4名，西湖公园服务所，核定事业编制5名。均定为财政一类副股级事业单位。</w:t>
      </w:r>
    </w:p>
    <w:p w:rsidR="00853689" w:rsidRDefault="00853689" w:rsidP="00853689">
      <w:pPr>
        <w:ind w:firstLineChars="98" w:firstLine="3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三、人员构成情况</w:t>
      </w:r>
    </w:p>
    <w:p w:rsidR="00853689" w:rsidRPr="007009D6" w:rsidRDefault="00853689" w:rsidP="007009D6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本单位共有事业编制在职人员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人，其中公园办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人，西湖公园服务所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人，滨江公园服务所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人。另有临时工</w:t>
      </w:r>
      <w:r>
        <w:rPr>
          <w:sz w:val="32"/>
          <w:szCs w:val="32"/>
        </w:rPr>
        <w:t>56</w:t>
      </w:r>
      <w:r>
        <w:rPr>
          <w:rFonts w:hint="eastAsia"/>
          <w:sz w:val="32"/>
          <w:szCs w:val="32"/>
        </w:rPr>
        <w:t>人，主要负责公园绿地卫生工作，经费由财政拨给。</w:t>
      </w:r>
    </w:p>
    <w:p w:rsidR="007009D6" w:rsidRDefault="007009D6" w:rsidP="007009D6">
      <w:pPr>
        <w:autoSpaceDE w:val="0"/>
        <w:autoSpaceDN w:val="0"/>
        <w:adjustRightInd w:val="0"/>
        <w:ind w:firstLineChars="98" w:firstLine="315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四、预算年度的主要工作任务</w:t>
      </w:r>
    </w:p>
    <w:p w:rsidR="007009D6" w:rsidRPr="006555C0" w:rsidRDefault="007009D6" w:rsidP="007009D6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全面贯彻党的十八届三中、四中、五中、六中全会精神，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深入学习贯彻习近平总书记系列重要讲话精神，按照中央和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县委、县政府的决策部署，坚持稳中求进工作总基调，牢固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树立和贯彻落实新发展理念，适应把握引领经济发展新常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态，坚持以提高发展质量和效益为中心，坚持以推进供给侧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结构性改革为主线，实施更加积极有效的财政政策，深入推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lastRenderedPageBreak/>
        <w:t>进财税体制改革，全力保障重点领域支出，进一步提高财政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资金使用效益，切实防范化解财政风险，为实现全县经济持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6555C0">
        <w:rPr>
          <w:rFonts w:asciiTheme="minorEastAsia" w:hAnsiTheme="minorEastAsia" w:cs="仿宋_GB2312" w:hint="eastAsia"/>
          <w:kern w:val="0"/>
          <w:sz w:val="32"/>
          <w:szCs w:val="32"/>
        </w:rPr>
        <w:t>续健康发展和社会和谐稳定提供更有力的财力保障。</w:t>
      </w:r>
    </w:p>
    <w:p w:rsidR="007009D6" w:rsidRPr="006555C0" w:rsidRDefault="007009D6" w:rsidP="007009D6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32"/>
          <w:szCs w:val="32"/>
        </w:rPr>
      </w:pPr>
    </w:p>
    <w:p w:rsidR="00853689" w:rsidRPr="007009D6" w:rsidRDefault="00853689" w:rsidP="00853689">
      <w:pPr>
        <w:rPr>
          <w:rFonts w:ascii="黑体" w:eastAsia="黑体" w:hAnsi="黑体" w:cs="黑体"/>
          <w:sz w:val="44"/>
          <w:szCs w:val="44"/>
        </w:rPr>
        <w:sectPr w:rsidR="00853689" w:rsidRPr="007009D6" w:rsidSect="00853689">
          <w:pgSz w:w="11906" w:h="16838"/>
          <w:pgMar w:top="1440" w:right="1274" w:bottom="1440" w:left="1800" w:header="851" w:footer="992" w:gutter="0"/>
          <w:cols w:space="425"/>
          <w:docGrid w:type="lines" w:linePitch="312"/>
        </w:sectPr>
      </w:pPr>
    </w:p>
    <w:p w:rsidR="00505B4A" w:rsidRPr="007009D6" w:rsidRDefault="003F7E37" w:rsidP="007009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D35A53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86D9F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186D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009D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307.91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26.11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497B26" w:rsidP="00186D9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</w:tbl>
    <w:p w:rsidR="00505B4A" w:rsidRPr="00C552A5" w:rsidRDefault="00505B4A">
      <w:pPr>
        <w:jc w:val="center"/>
        <w:rPr>
          <w:rFonts w:asciiTheme="minorEastAsia" w:hAnsiTheme="minorEastAsia" w:cs="方正小标宋简体"/>
          <w:sz w:val="32"/>
          <w:szCs w:val="32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表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  <w:p w:rsidR="00C552A5" w:rsidRPr="00044B2D" w:rsidRDefault="00C552A5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C552A5" w:rsidP="00C552A5">
            <w:pPr>
              <w:widowControl/>
              <w:wordWrap w:val="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52A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641165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641165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641165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641165" w:rsidP="00186D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641165" w:rsidP="0064116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E64831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648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52A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307.91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247.91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50.87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8.28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26.11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26.11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78491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492114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E64831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648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52A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0602B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0602B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0602B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602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0602B4" w:rsidP="00E648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0602B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602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0602B4" w:rsidP="00E648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334.02</w:t>
            </w:r>
          </w:p>
        </w:tc>
      </w:tr>
    </w:tbl>
    <w:p w:rsidR="00505B4A" w:rsidRDefault="00505B4A"/>
    <w:tbl>
      <w:tblPr>
        <w:tblW w:w="8520" w:type="dxa"/>
        <w:tblInd w:w="93" w:type="dxa"/>
        <w:tblLayout w:type="fixed"/>
        <w:tblLook w:val="04A0"/>
      </w:tblPr>
      <w:tblGrid>
        <w:gridCol w:w="3352"/>
        <w:gridCol w:w="764"/>
        <w:gridCol w:w="861"/>
        <w:gridCol w:w="283"/>
        <w:gridCol w:w="1088"/>
        <w:gridCol w:w="357"/>
        <w:gridCol w:w="256"/>
        <w:gridCol w:w="1317"/>
        <w:gridCol w:w="242"/>
      </w:tblGrid>
      <w:tr w:rsidR="00CF3C31" w:rsidRPr="00CF3C31" w:rsidTr="00C552A5">
        <w:trPr>
          <w:trHeight w:val="402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Default="00C552A5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C552A5" w:rsidRPr="00CF3C31" w:rsidRDefault="00C552A5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552A5">
        <w:trPr>
          <w:trHeight w:val="499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E648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E648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0"/>
                <w:szCs w:val="30"/>
              </w:rPr>
              <w:t>一般公共预算支出情况表（按功能分类科目）</w:t>
            </w:r>
          </w:p>
        </w:tc>
      </w:tr>
      <w:tr w:rsidR="00CF3C31" w:rsidRPr="00CF3C31" w:rsidTr="00C552A5">
        <w:trPr>
          <w:trHeight w:val="402"/>
        </w:trPr>
        <w:tc>
          <w:tcPr>
            <w:tcW w:w="6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552A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552A5">
        <w:trPr>
          <w:trHeight w:val="402"/>
        </w:trPr>
        <w:tc>
          <w:tcPr>
            <w:tcW w:w="4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552A5">
        <w:trPr>
          <w:trHeight w:val="402"/>
        </w:trPr>
        <w:tc>
          <w:tcPr>
            <w:tcW w:w="4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648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831" w:rsidRPr="00CF3C31" w:rsidRDefault="00E648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334.02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 w:rsidP="00E64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307.91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4831" w:rsidRPr="00E64831" w:rsidRDefault="000602B4" w:rsidP="00E648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26.11</w:t>
            </w:r>
          </w:p>
        </w:tc>
      </w:tr>
      <w:tr w:rsidR="00E648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831" w:rsidRPr="00CF3C31" w:rsidRDefault="00E648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[212]城乡社区支出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334.02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 w:rsidP="00E64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307.91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4831" w:rsidRPr="00E64831" w:rsidRDefault="000602B4" w:rsidP="00E648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26.11</w:t>
            </w:r>
          </w:p>
        </w:tc>
      </w:tr>
      <w:tr w:rsidR="00E648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831" w:rsidRPr="00CF3C31" w:rsidRDefault="00E648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[21205]城乡社区环境卫生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334.02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 w:rsidP="00E648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307.91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4831" w:rsidRPr="00E64831" w:rsidRDefault="000602B4" w:rsidP="00E648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26.11</w:t>
            </w:r>
          </w:p>
        </w:tc>
      </w:tr>
      <w:tr w:rsidR="00E648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831" w:rsidRPr="00CF3C31" w:rsidRDefault="00E648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[2120501]城乡社区环境卫生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334.02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64831" w:rsidRPr="00E64831" w:rsidRDefault="000602B4" w:rsidP="00C552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307.91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4831" w:rsidRPr="00E64831" w:rsidRDefault="000602B4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26.11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87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552A5">
        <w:trPr>
          <w:trHeight w:val="390"/>
        </w:trPr>
        <w:tc>
          <w:tcPr>
            <w:tcW w:w="4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C552A5">
        <w:trPr>
          <w:gridAfter w:val="1"/>
          <w:wAfter w:w="242" w:type="dxa"/>
          <w:trHeight w:val="527"/>
        </w:trPr>
        <w:tc>
          <w:tcPr>
            <w:tcW w:w="8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E64831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E648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0"/>
                <w:szCs w:val="30"/>
              </w:rPr>
              <w:t>一般公共预算基本支出情况表（按支出经济分类科目）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6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9622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307.91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247.91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486094">
            <w:pPr>
              <w:widowControl/>
              <w:wordWrap w:val="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164.35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19.44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64.12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50.87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0219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16.50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3.1 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17.35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5.62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267E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0.85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267E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0.85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702E8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267E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8.28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267E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</w:t>
            </w:r>
            <w:r w:rsidR="00D267E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267EA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8.28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C552A5">
        <w:trPr>
          <w:gridAfter w:val="1"/>
          <w:wAfter w:w="242" w:type="dxa"/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p w:rsidR="0000219E" w:rsidRDefault="0000219E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9E" w:rsidRPr="0048089B" w:rsidRDefault="0000219E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0219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DB376C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662" w:type="dxa"/>
        <w:tblInd w:w="93" w:type="dxa"/>
        <w:tblLayout w:type="fixed"/>
        <w:tblLook w:val="04A0"/>
      </w:tblPr>
      <w:tblGrid>
        <w:gridCol w:w="6427"/>
        <w:gridCol w:w="309"/>
        <w:gridCol w:w="1926"/>
      </w:tblGrid>
      <w:tr w:rsidR="00A04A53" w:rsidRPr="00A04A53" w:rsidTr="00DB376C">
        <w:trPr>
          <w:trHeight w:val="402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DB376C">
        <w:trPr>
          <w:trHeight w:val="499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DB376C">
        <w:trPr>
          <w:trHeight w:val="402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0219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267EA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267EA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B376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267EA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B376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0219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267EA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B376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0219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DB376C">
        <w:trPr>
          <w:trHeight w:val="1902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DB376C">
        <w:trPr>
          <w:trHeight w:val="1302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00219E" w:rsidRDefault="0000219E">
      <w:bookmarkStart w:id="0" w:name="_GoBack"/>
      <w:bookmarkEnd w:id="0"/>
    </w:p>
    <w:p w:rsidR="0000219E" w:rsidRDefault="0000219E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9E" w:rsidRPr="00EA4F11" w:rsidRDefault="0000219E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267EA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0219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0219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0219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0219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0219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p w:rsidR="0000219E" w:rsidRDefault="0000219E"/>
    <w:tbl>
      <w:tblPr>
        <w:tblW w:w="8519" w:type="dxa"/>
        <w:tblInd w:w="93" w:type="dxa"/>
        <w:tblLayout w:type="fixed"/>
        <w:tblLook w:val="04A0"/>
      </w:tblPr>
      <w:tblGrid>
        <w:gridCol w:w="2425"/>
        <w:gridCol w:w="592"/>
        <w:gridCol w:w="400"/>
        <w:gridCol w:w="216"/>
        <w:gridCol w:w="482"/>
        <w:gridCol w:w="153"/>
        <w:gridCol w:w="594"/>
        <w:gridCol w:w="256"/>
        <w:gridCol w:w="558"/>
        <w:gridCol w:w="151"/>
        <w:gridCol w:w="729"/>
        <w:gridCol w:w="122"/>
        <w:gridCol w:w="625"/>
        <w:gridCol w:w="83"/>
        <w:gridCol w:w="1133"/>
      </w:tblGrid>
      <w:tr w:rsidR="00A217B1" w:rsidRPr="00A217B1" w:rsidTr="0000219E">
        <w:trPr>
          <w:trHeight w:val="429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00219E">
        <w:trPr>
          <w:trHeight w:val="533"/>
        </w:trPr>
        <w:tc>
          <w:tcPr>
            <w:tcW w:w="8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D267EA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00219E">
        <w:trPr>
          <w:trHeight w:val="429"/>
        </w:trPr>
        <w:tc>
          <w:tcPr>
            <w:tcW w:w="6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0021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00219E">
        <w:trPr>
          <w:trHeight w:val="41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00219E">
        <w:trPr>
          <w:trHeight w:val="64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00219E">
        <w:trPr>
          <w:trHeight w:val="4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00219E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大埔县公园办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00219E">
        <w:trPr>
          <w:trHeight w:val="4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267EA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334.02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267EA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334.02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267EA" w:rsidP="00DB37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00219E">
        <w:trPr>
          <w:trHeight w:val="4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00219E">
        <w:trPr>
          <w:trHeight w:val="4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00219E">
        <w:trPr>
          <w:trHeight w:val="4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909"/>
        <w:gridCol w:w="524"/>
        <w:gridCol w:w="524"/>
        <w:gridCol w:w="955"/>
        <w:gridCol w:w="1063"/>
        <w:gridCol w:w="1171"/>
        <w:gridCol w:w="955"/>
        <w:gridCol w:w="739"/>
        <w:gridCol w:w="739"/>
      </w:tblGrid>
      <w:tr w:rsidR="0000219E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D267EA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00219E" w:rsidRPr="00B33320" w:rsidTr="001307D9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19E" w:rsidRPr="00B33320" w:rsidRDefault="0000219E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大埔县公园管理办公室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19E" w:rsidRPr="00B33320" w:rsidRDefault="0000219E" w:rsidP="0000219E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00219E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219E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00219E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大埔县公园办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0219E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00219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00219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219E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219E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 w:rsidP="000021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 w:rsidR="00D267E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D267EA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00219E">
        <w:rPr>
          <w:rFonts w:ascii="仿宋_GB2312" w:eastAsia="仿宋_GB2312" w:hAnsi="仿宋_GB2312" w:cs="仿宋_GB2312" w:hint="eastAsia"/>
          <w:sz w:val="32"/>
          <w:szCs w:val="32"/>
        </w:rPr>
        <w:t>年本单位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收入预算334.02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3.18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0.96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B376C">
        <w:rPr>
          <w:rFonts w:ascii="仿宋_GB2312" w:eastAsia="仿宋_GB2312" w:hAnsi="仿宋_GB2312" w:cs="仿宋_GB2312" w:hint="eastAsia"/>
          <w:sz w:val="32"/>
          <w:szCs w:val="32"/>
        </w:rPr>
        <w:t>按照国家调资政策增加了人员工资经费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社会保障机制正常增长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334.02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3.18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0.96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按照国家调资增加了人员工资经费及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社会保障机制正常增长。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D267E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年本单位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元，比上年减少1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万元，其中：公务用车运行维护费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4万元，比上年减少1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减少20%；主要原因是单位根据上一年度运行费实际支出而递减；</w:t>
      </w:r>
      <w:r w:rsidR="008C4D9A">
        <w:rPr>
          <w:rFonts w:ascii="仿宋_GB2312" w:eastAsia="仿宋_GB2312" w:hAnsi="仿宋_GB2312" w:cs="仿宋_GB2312" w:hint="eastAsia"/>
          <w:sz w:val="32"/>
          <w:szCs w:val="32"/>
        </w:rPr>
        <w:t>公务接待费0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万元，与上年比无增减</w:t>
      </w:r>
      <w:r w:rsidR="00B76C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D267E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887F31">
        <w:rPr>
          <w:rFonts w:ascii="仿宋_GB2312" w:eastAsia="仿宋_GB2312" w:hAnsi="仿宋_GB2312" w:cs="仿宋_GB2312" w:hint="eastAsia"/>
          <w:sz w:val="32"/>
          <w:szCs w:val="32"/>
        </w:rPr>
        <w:t>年，本单位事业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运行经费安排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50.87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万元，比上年减少6.33万元，递减11.07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44653E">
        <w:rPr>
          <w:rFonts w:ascii="仿宋_GB2312" w:eastAsia="仿宋_GB2312" w:hAnsi="仿宋_GB2312" w:cs="仿宋_GB2312" w:hint="eastAsia"/>
          <w:sz w:val="32"/>
          <w:szCs w:val="32"/>
        </w:rPr>
        <w:t>一般维</w:t>
      </w:r>
      <w:r w:rsidR="0094187B">
        <w:rPr>
          <w:rFonts w:ascii="仿宋_GB2312" w:eastAsia="仿宋_GB2312" w:hAnsi="仿宋_GB2312" w:cs="仿宋_GB2312" w:hint="eastAsia"/>
          <w:sz w:val="32"/>
          <w:szCs w:val="32"/>
        </w:rPr>
        <w:t>护维修及原材料的费用支出、特种作业用车及垃圾打捞船燃油费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运行费</w:t>
      </w:r>
      <w:r w:rsidR="0094187B">
        <w:rPr>
          <w:rFonts w:ascii="仿宋_GB2312" w:eastAsia="仿宋_GB2312" w:hAnsi="仿宋_GB2312" w:cs="仿宋_GB2312" w:hint="eastAsia"/>
          <w:sz w:val="32"/>
          <w:szCs w:val="32"/>
        </w:rPr>
        <w:t>支出。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其中：办公费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2.2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 w:rsidR="00BB7B57">
        <w:rPr>
          <w:rFonts w:ascii="仿宋_GB2312" w:eastAsia="仿宋_GB2312" w:hAnsi="仿宋_GB2312" w:cs="仿宋_GB2312" w:hint="eastAsia"/>
          <w:sz w:val="32"/>
          <w:szCs w:val="32"/>
        </w:rPr>
        <w:t>0.3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1.5</w:t>
      </w:r>
      <w:r w:rsidR="00BB7B57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0.3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日常维修费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17.35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万元，专用材料费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16.50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劳务费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3.1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万元，其他商品和服务支出</w:t>
      </w:r>
      <w:r w:rsidR="000F6FD2">
        <w:rPr>
          <w:rFonts w:ascii="仿宋_GB2312" w:eastAsia="仿宋_GB2312" w:hAnsi="仿宋_GB2312" w:cs="仿宋_GB2312" w:hint="eastAsia"/>
          <w:sz w:val="32"/>
          <w:szCs w:val="32"/>
        </w:rPr>
        <w:t>5.62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0F6FD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年本单位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政府采购安排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.85万元，本年度公园办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安排政府采购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为一台电脑及彩色打印机</w:t>
      </w:r>
      <w:r w:rsidR="00AF3E73">
        <w:rPr>
          <w:rFonts w:ascii="仿宋_GB2312" w:eastAsia="仿宋_GB2312" w:hAnsi="仿宋_GB2312" w:cs="仿宋_GB2312" w:hint="eastAsia"/>
          <w:sz w:val="32"/>
          <w:szCs w:val="32"/>
        </w:rPr>
        <w:t>支出项目。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1307D9" w:rsidRPr="001307D9" w:rsidRDefault="001307D9" w:rsidP="001307D9">
      <w:pPr>
        <w:pStyle w:val="a6"/>
        <w:numPr>
          <w:ilvl w:val="0"/>
          <w:numId w:val="5"/>
        </w:numPr>
        <w:spacing w:line="58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1307D9">
        <w:rPr>
          <w:rFonts w:ascii="仿宋_GB2312" w:eastAsia="仿宋_GB2312" w:hint="eastAsia"/>
          <w:sz w:val="32"/>
          <w:szCs w:val="32"/>
        </w:rPr>
        <w:t>截至</w:t>
      </w:r>
      <w:r w:rsidR="000F6FD2">
        <w:rPr>
          <w:rFonts w:ascii="仿宋_GB2312" w:eastAsia="仿宋_GB2312" w:hint="eastAsia"/>
          <w:sz w:val="32"/>
          <w:szCs w:val="32"/>
        </w:rPr>
        <w:t>2017</w:t>
      </w:r>
      <w:r w:rsidRPr="001307D9">
        <w:rPr>
          <w:rFonts w:ascii="仿宋_GB2312" w:eastAsia="仿宋_GB2312" w:hint="eastAsia"/>
          <w:sz w:val="32"/>
          <w:szCs w:val="32"/>
        </w:rPr>
        <w:t>年12月31</w:t>
      </w:r>
      <w:r w:rsidR="000F6FD2">
        <w:rPr>
          <w:rFonts w:ascii="仿宋_GB2312" w:eastAsia="仿宋_GB2312" w:hint="eastAsia"/>
          <w:sz w:val="32"/>
          <w:szCs w:val="32"/>
        </w:rPr>
        <w:t>日，本单位有办公设备（包括电脑四</w:t>
      </w:r>
      <w:r w:rsidRPr="001307D9">
        <w:rPr>
          <w:rFonts w:ascii="仿宋_GB2312" w:eastAsia="仿宋_GB2312" w:hint="eastAsia"/>
          <w:sz w:val="32"/>
          <w:szCs w:val="32"/>
        </w:rPr>
        <w:t>台、空调四台等一些办公必用设备等），</w:t>
      </w:r>
      <w:r w:rsidR="000F6FD2">
        <w:rPr>
          <w:rFonts w:ascii="仿宋_GB2312" w:eastAsia="仿宋_GB2312" w:hint="eastAsia"/>
          <w:sz w:val="32"/>
          <w:szCs w:val="32"/>
        </w:rPr>
        <w:t>一辆特种作业用车及一辆湖面垃圾打捞船；</w:t>
      </w:r>
      <w:r w:rsidRPr="001307D9">
        <w:rPr>
          <w:rFonts w:ascii="仿宋_GB2312" w:eastAsia="仿宋_GB2312" w:hint="eastAsia"/>
          <w:sz w:val="32"/>
          <w:szCs w:val="32"/>
        </w:rPr>
        <w:t>无价值200万元以上的设备。</w:t>
      </w:r>
    </w:p>
    <w:p w:rsidR="00505B4A" w:rsidRDefault="001307D9" w:rsidP="001307D9">
      <w:pPr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 w:rsidR="003F7E37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0F6FD2" w:rsidP="001307D9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 w:rsidR="001307D9">
        <w:rPr>
          <w:rFonts w:ascii="仿宋_GB2312" w:eastAsia="仿宋_GB2312" w:hAnsi="仿宋_GB2312" w:cs="仿宋_GB2312" w:hint="eastAsia"/>
          <w:sz w:val="32"/>
          <w:szCs w:val="32"/>
        </w:rPr>
        <w:t>我办的主要工作目标有：全面梳理和优化支出流程，健全预算编制和执行相适应制度；突出重点，认真抓好重点项目支出，在合法依规、安全可靠的前提下及时高效地做好支出工作，力争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1307D9">
        <w:rPr>
          <w:rFonts w:ascii="仿宋_GB2312" w:eastAsia="仿宋_GB2312" w:hAnsi="仿宋_GB2312" w:cs="仿宋_GB2312" w:hint="eastAsia"/>
          <w:sz w:val="32"/>
          <w:szCs w:val="32"/>
        </w:rPr>
        <w:t>年整体支出目标达到100</w:t>
      </w:r>
      <w:r w:rsidR="001307D9">
        <w:rPr>
          <w:rFonts w:ascii="宋体" w:eastAsia="宋体" w:hAnsi="宋体" w:cs="宋体" w:hint="eastAsia"/>
          <w:sz w:val="32"/>
          <w:szCs w:val="32"/>
        </w:rPr>
        <w:t>﹪。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E2749" w:rsidRDefault="005E2749" w:rsidP="005E27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、一般公共预算：指对以税收为主体的财政收入，安排用于保障和改善民生、推动经济社会发展、维护国家安全、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维持国家机构正常运转等方面的收支预算。</w:t>
      </w:r>
    </w:p>
    <w:p w:rsidR="005E2749" w:rsidRDefault="005E2749" w:rsidP="005E27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、部门预算：指与财政部门直接发生预算缴款、拨款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关系的政府机关、社会团体和其他单位，依据国家有关法律、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法规规定及其履行职能的需要编制的本部门年度收支计划，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涵盖部门各项收支，实行一个部门一本预算。</w:t>
      </w:r>
    </w:p>
    <w:p w:rsidR="005E2749" w:rsidRDefault="005E2749" w:rsidP="005E27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、非税收入：指除税收和政府债务收入以外，由各级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国家机关、事业单位、代行政府职能的社会团体及其他组织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依法利用国家权力、政府信誉、国有资源（资产）所有者权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益等取得的各项收入，包括行政事业性收费、政府性基金、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罚没收入、国有资源（资产）有偿使用收入、国有资本收益、</w:t>
      </w:r>
    </w:p>
    <w:p w:rsidR="005E2749" w:rsidRDefault="005E2749" w:rsidP="005E274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彩票公益金收入、特许经营收入、以政府名义接受的捐赠收</w:t>
      </w:r>
    </w:p>
    <w:p w:rsidR="005E2749" w:rsidRDefault="005E2749" w:rsidP="005E2749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入、政府收入的利息收入等。</w:t>
      </w:r>
    </w:p>
    <w:p w:rsidR="005E2749" w:rsidRDefault="005E2749" w:rsidP="005E2749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5E2749" w:rsidRDefault="005E2749" w:rsidP="005E2749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5E2749" w:rsidRDefault="005E2749" w:rsidP="005E2749">
      <w:pPr>
        <w:rPr>
          <w:rFonts w:ascii="仿宋_GB2312" w:eastAsia="仿宋_GB2312" w:cs="仿宋_GB2312"/>
          <w:kern w:val="0"/>
          <w:sz w:val="32"/>
          <w:szCs w:val="32"/>
        </w:rPr>
      </w:pPr>
    </w:p>
    <w:p w:rsidR="00505B4A" w:rsidRPr="005E2749" w:rsidRDefault="00505B4A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sectPr w:rsidR="00505B4A" w:rsidRPr="005E2749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C7" w:rsidRDefault="00FC08C7" w:rsidP="00B80EAA">
      <w:r>
        <w:separator/>
      </w:r>
    </w:p>
  </w:endnote>
  <w:endnote w:type="continuationSeparator" w:id="1">
    <w:p w:rsidR="00FC08C7" w:rsidRDefault="00FC08C7" w:rsidP="00B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C7" w:rsidRDefault="00FC08C7" w:rsidP="00B80EAA">
      <w:r>
        <w:separator/>
      </w:r>
    </w:p>
  </w:footnote>
  <w:footnote w:type="continuationSeparator" w:id="1">
    <w:p w:rsidR="00FC08C7" w:rsidRDefault="00FC08C7" w:rsidP="00B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0219E"/>
    <w:rsid w:val="00015613"/>
    <w:rsid w:val="00044B2D"/>
    <w:rsid w:val="000602B4"/>
    <w:rsid w:val="0007485D"/>
    <w:rsid w:val="000A5401"/>
    <w:rsid w:val="000C3537"/>
    <w:rsid w:val="000F6FD2"/>
    <w:rsid w:val="001307D9"/>
    <w:rsid w:val="00186D9F"/>
    <w:rsid w:val="001A6815"/>
    <w:rsid w:val="00227767"/>
    <w:rsid w:val="0024119B"/>
    <w:rsid w:val="00297546"/>
    <w:rsid w:val="002A5D7E"/>
    <w:rsid w:val="00356683"/>
    <w:rsid w:val="003F7E37"/>
    <w:rsid w:val="00412EFC"/>
    <w:rsid w:val="0044653E"/>
    <w:rsid w:val="0048089B"/>
    <w:rsid w:val="00486094"/>
    <w:rsid w:val="00492114"/>
    <w:rsid w:val="00497B26"/>
    <w:rsid w:val="004C1756"/>
    <w:rsid w:val="00505B4A"/>
    <w:rsid w:val="00523485"/>
    <w:rsid w:val="005D3ABB"/>
    <w:rsid w:val="005E2749"/>
    <w:rsid w:val="005F7D91"/>
    <w:rsid w:val="006255B8"/>
    <w:rsid w:val="00631337"/>
    <w:rsid w:val="00641165"/>
    <w:rsid w:val="00654A06"/>
    <w:rsid w:val="006555C0"/>
    <w:rsid w:val="006E3E81"/>
    <w:rsid w:val="007009D6"/>
    <w:rsid w:val="0078491D"/>
    <w:rsid w:val="00853689"/>
    <w:rsid w:val="00854799"/>
    <w:rsid w:val="00887F31"/>
    <w:rsid w:val="008C31CC"/>
    <w:rsid w:val="008C4D9A"/>
    <w:rsid w:val="008D5C55"/>
    <w:rsid w:val="00925C68"/>
    <w:rsid w:val="00937884"/>
    <w:rsid w:val="0094187B"/>
    <w:rsid w:val="009610AE"/>
    <w:rsid w:val="009E2861"/>
    <w:rsid w:val="00A04A53"/>
    <w:rsid w:val="00A217B1"/>
    <w:rsid w:val="00A50396"/>
    <w:rsid w:val="00A56614"/>
    <w:rsid w:val="00A84CE6"/>
    <w:rsid w:val="00AE6610"/>
    <w:rsid w:val="00AF3E73"/>
    <w:rsid w:val="00B33320"/>
    <w:rsid w:val="00B76CC6"/>
    <w:rsid w:val="00B80EAA"/>
    <w:rsid w:val="00B9622B"/>
    <w:rsid w:val="00BA63F7"/>
    <w:rsid w:val="00BB7B57"/>
    <w:rsid w:val="00BD7887"/>
    <w:rsid w:val="00BF50CA"/>
    <w:rsid w:val="00C552A5"/>
    <w:rsid w:val="00C87A8E"/>
    <w:rsid w:val="00CF3C31"/>
    <w:rsid w:val="00D0003E"/>
    <w:rsid w:val="00D15670"/>
    <w:rsid w:val="00D267EA"/>
    <w:rsid w:val="00D35A53"/>
    <w:rsid w:val="00DA497E"/>
    <w:rsid w:val="00DB376C"/>
    <w:rsid w:val="00E64831"/>
    <w:rsid w:val="00EA3A29"/>
    <w:rsid w:val="00EA4F11"/>
    <w:rsid w:val="00F65697"/>
    <w:rsid w:val="00F702E8"/>
    <w:rsid w:val="00F83FBF"/>
    <w:rsid w:val="00FC08C7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8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0E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8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80E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307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Lenovo</cp:lastModifiedBy>
  <cp:revision>49</cp:revision>
  <cp:lastPrinted>2018-02-09T07:39:00Z</cp:lastPrinted>
  <dcterms:created xsi:type="dcterms:W3CDTF">2018-03-30T01:37:00Z</dcterms:created>
  <dcterms:modified xsi:type="dcterms:W3CDTF">2018-04-11T02:36:00Z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