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cs="方正小标宋简体" w:asciiTheme="majorEastAsia" w:hAnsiTheme="majorEastAsia" w:eastAsiaTheme="majorEastAsia"/>
          <w:sz w:val="52"/>
          <w:szCs w:val="52"/>
        </w:rPr>
      </w:pPr>
      <w:r>
        <w:rPr>
          <w:rFonts w:hint="eastAsia" w:cs="方正小标宋简体" w:asciiTheme="majorEastAsia" w:hAnsiTheme="majorEastAsia" w:eastAsiaTheme="majorEastAsia"/>
          <w:sz w:val="52"/>
          <w:szCs w:val="52"/>
        </w:rPr>
        <w:t>201</w:t>
      </w:r>
      <w:r>
        <w:rPr>
          <w:rFonts w:hint="eastAsia" w:cs="方正小标宋简体" w:asciiTheme="majorEastAsia" w:hAnsiTheme="majorEastAsia" w:eastAsiaTheme="majorEastAsia"/>
          <w:sz w:val="52"/>
          <w:szCs w:val="52"/>
          <w:lang w:val="en-US" w:eastAsia="zh-CN"/>
        </w:rPr>
        <w:t>8</w:t>
      </w:r>
      <w:r>
        <w:rPr>
          <w:rFonts w:hint="eastAsia" w:cs="方正小标宋简体" w:asciiTheme="majorEastAsia" w:hAnsiTheme="majorEastAsia" w:eastAsiaTheme="majorEastAsia"/>
          <w:sz w:val="52"/>
          <w:szCs w:val="52"/>
        </w:rPr>
        <w:t>年</w:t>
      </w:r>
      <w:r>
        <w:rPr>
          <w:rFonts w:hint="eastAsia" w:cs="方正小标宋简体" w:asciiTheme="majorEastAsia" w:hAnsiTheme="majorEastAsia" w:eastAsiaTheme="majorEastAsia"/>
          <w:sz w:val="52"/>
          <w:szCs w:val="52"/>
          <w:lang w:eastAsia="zh-CN"/>
        </w:rPr>
        <w:t>广州海珠（大埔）产业转移工业园管委会</w:t>
      </w:r>
      <w:r>
        <w:rPr>
          <w:rFonts w:hint="eastAsia" w:cs="方正小标宋简体" w:asciiTheme="majorEastAsia" w:hAnsiTheme="majorEastAsia" w:eastAsiaTheme="majorEastAsia"/>
          <w:sz w:val="52"/>
          <w:szCs w:val="52"/>
        </w:rPr>
        <w:t>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广州海珠（大埔）产业转移工业园管委会</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w:t>
      </w:r>
      <w:r>
        <w:rPr>
          <w:rFonts w:hint="eastAsia" w:ascii="黑体" w:hAnsi="黑体" w:eastAsia="黑体" w:cs="黑体"/>
          <w:sz w:val="32"/>
          <w:szCs w:val="32"/>
          <w:lang w:val="en-US" w:eastAsia="zh-CN"/>
        </w:rPr>
        <w:t>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w:t>
      </w:r>
      <w:r>
        <w:rPr>
          <w:rFonts w:hint="eastAsia" w:ascii="黑体" w:hAnsi="黑体" w:eastAsia="黑体" w:cs="黑体"/>
          <w:sz w:val="32"/>
          <w:szCs w:val="32"/>
          <w:lang w:val="en-US" w:eastAsia="zh-CN"/>
        </w:rPr>
        <w:t>8</w:t>
      </w:r>
      <w:r>
        <w:rPr>
          <w:rFonts w:hint="eastAsia" w:ascii="黑体" w:hAnsi="黑体" w:eastAsia="黑体" w:cs="黑体"/>
          <w:sz w:val="32"/>
          <w:szCs w:val="32"/>
        </w:rPr>
        <w:t>年部门预算情况说明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第一部分  </w:t>
      </w:r>
      <w:r>
        <w:rPr>
          <w:rFonts w:hint="eastAsia" w:ascii="仿宋_GB2312" w:hAnsi="方正小标宋简体" w:eastAsia="仿宋_GB2312" w:cs="方正小标宋简体"/>
          <w:sz w:val="32"/>
          <w:szCs w:val="32"/>
          <w:lang w:eastAsia="zh-CN"/>
        </w:rPr>
        <w:t>广州海珠（大埔）产业转移工业园管委会</w:t>
      </w:r>
      <w:r>
        <w:rPr>
          <w:rFonts w:hint="eastAsia" w:ascii="仿宋_GB2312" w:hAnsi="方正小标宋简体" w:eastAsia="仿宋_GB2312" w:cs="方正小标宋简体"/>
          <w:sz w:val="32"/>
          <w:szCs w:val="32"/>
        </w:rPr>
        <w:t>概况</w:t>
      </w:r>
    </w:p>
    <w:p>
      <w:pPr>
        <w:rPr>
          <w:b/>
          <w:sz w:val="28"/>
          <w:szCs w:val="28"/>
        </w:rPr>
      </w:pPr>
      <w:r>
        <w:rPr>
          <w:rFonts w:hint="eastAsia"/>
          <w:b/>
          <w:sz w:val="28"/>
          <w:szCs w:val="28"/>
        </w:rPr>
        <w:t>一、部门</w:t>
      </w:r>
      <w:r>
        <w:rPr>
          <w:rFonts w:hint="eastAsia"/>
          <w:b/>
          <w:sz w:val="28"/>
          <w:szCs w:val="28"/>
          <w:lang w:eastAsia="zh-CN"/>
        </w:rPr>
        <w:t>主要</w:t>
      </w:r>
      <w:r>
        <w:rPr>
          <w:rFonts w:hint="eastAsia"/>
          <w:b/>
          <w:sz w:val="28"/>
          <w:szCs w:val="28"/>
        </w:rPr>
        <w:t>职责</w:t>
      </w:r>
    </w:p>
    <w:p>
      <w:pPr>
        <w:ind w:firstLine="560" w:firstLineChars="200"/>
        <w:rPr>
          <w:rFonts w:ascii="仿宋_GB2312" w:eastAsia="仿宋_GB2312"/>
          <w:sz w:val="32"/>
          <w:szCs w:val="32"/>
        </w:rPr>
      </w:pPr>
      <w:r>
        <w:rPr>
          <w:rFonts w:hint="eastAsia"/>
          <w:sz w:val="28"/>
          <w:szCs w:val="28"/>
        </w:rPr>
        <w:t>（一）</w:t>
      </w:r>
      <w:r>
        <w:rPr>
          <w:rFonts w:hint="eastAsia" w:ascii="仿宋_GB2312" w:eastAsia="仿宋_GB2312"/>
          <w:sz w:val="32"/>
          <w:szCs w:val="32"/>
        </w:rPr>
        <w:t>2014年8月13日，根据大埔县机构编制委员会批准（埔机编字［2014］19号），设立广州海珠（大埔）产业转移工业园管委会，定为县人民政府直属正科级、公益一类事业单位。</w:t>
      </w:r>
    </w:p>
    <w:p>
      <w:pPr>
        <w:rPr>
          <w:b/>
          <w:sz w:val="28"/>
          <w:szCs w:val="28"/>
        </w:rPr>
      </w:pPr>
      <w:r>
        <w:rPr>
          <w:rFonts w:hint="eastAsia"/>
          <w:b/>
          <w:sz w:val="28"/>
          <w:szCs w:val="28"/>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广州海珠（大埔）产业转移工业园管委会的主要职能是：一，指导监督入园企业积极贯彻执行党和国家的方针、政策和法律、法规；二，引导企业贯彻国家和省、市、县产业政策，落实《广东省工业产业结构调整方案》；三，制定实施产业转移工业园的发展规划和工作计划；负责承接项目入园的相关工作；四，负责组织规划和实施建设产业转移工业园的各项基础设施和公用设施；五，负责招商引资工作；六，协助企业申请办理各项优惠政策的落实工作；七，构建为企业开展科研、合作、电子商务等活动的公共服务平台和支撑体系；八，负责产业转移工业园区内环境保护和安全生产工作；九，负责产业转移工业园区内企业有关统计工作；十，负责产业园区人力资源开发和人才培训、职业技术教育、劳动就业管理、社会保障、新技术新工艺引进和应用、科研知识产权保护等各项管理工作；十一，配合、协调有关职能部门在产业转移工业园开展工作；十二，预提县委、县政府和上级行政主管部门交办的其他工作事项。</w:t>
      </w:r>
    </w:p>
    <w:p>
      <w:pPr>
        <w:ind w:firstLine="643" w:firstLineChars="200"/>
        <w:rPr>
          <w:rFonts w:ascii="仿宋_GB2312" w:eastAsia="仿宋_GB2312"/>
          <w:sz w:val="32"/>
          <w:szCs w:val="32"/>
        </w:rPr>
      </w:pPr>
      <w:r>
        <w:rPr>
          <w:rFonts w:hint="eastAsia" w:ascii="仿宋_GB2312" w:eastAsia="仿宋_GB2312"/>
          <w:b/>
          <w:sz w:val="32"/>
          <w:szCs w:val="32"/>
        </w:rPr>
        <w:t>（二）</w:t>
      </w:r>
      <w:r>
        <w:rPr>
          <w:rFonts w:ascii="Times New Roman" w:hAnsi="Times New Roman" w:eastAsia="宋体,微软雅黑" w:cs="Times New Roman"/>
          <w:b/>
          <w:color w:val="000000"/>
          <w:sz w:val="28"/>
          <w:szCs w:val="28"/>
        </w:rPr>
        <w:t>机构人员情况</w:t>
      </w:r>
      <w:r>
        <w:rPr>
          <w:rFonts w:hint="eastAsia" w:ascii="仿宋_GB2312" w:eastAsia="仿宋_GB2312"/>
          <w:b/>
          <w:sz w:val="32"/>
          <w:szCs w:val="32"/>
        </w:rPr>
        <w:t>：</w:t>
      </w:r>
      <w:r>
        <w:rPr>
          <w:rFonts w:hint="eastAsia" w:ascii="仿宋_GB2312" w:eastAsia="仿宋_GB2312"/>
          <w:sz w:val="32"/>
          <w:szCs w:val="32"/>
        </w:rPr>
        <w:t>广州海珠（大埔）产业转移工业园管委会事业编制16名，下设综合计财股、招商服务股、规划基建股、经济运行股、人力资源股等5个内设机构。</w:t>
      </w:r>
    </w:p>
    <w:p>
      <w:pPr>
        <w:ind w:firstLine="640" w:firstLineChars="200"/>
        <w:rPr>
          <w:rFonts w:hint="eastAsia" w:ascii="仿宋_GB2312" w:eastAsia="仿宋_GB2312"/>
          <w:color w:val="000000" w:themeColor="text1"/>
          <w:sz w:val="32"/>
          <w:szCs w:val="32"/>
        </w:rPr>
      </w:pPr>
      <w:r>
        <w:rPr>
          <w:rFonts w:ascii="仿宋_GB2312" w:eastAsia="仿宋_GB2312"/>
          <w:color w:val="000000" w:themeColor="text1"/>
          <w:sz w:val="32"/>
          <w:szCs w:val="32"/>
        </w:rPr>
        <w:t>201</w:t>
      </w:r>
      <w:r>
        <w:rPr>
          <w:rFonts w:hint="eastAsia" w:ascii="仿宋_GB2312" w:eastAsia="仿宋_GB2312"/>
          <w:color w:val="000000" w:themeColor="text1"/>
          <w:sz w:val="32"/>
          <w:szCs w:val="32"/>
        </w:rPr>
        <w:t>8年核定事业编制16人，在职事业编制13人。</w:t>
      </w:r>
      <w:r>
        <w:rPr>
          <w:rFonts w:ascii="仿宋_GB2312" w:eastAsia="仿宋_GB2312"/>
          <w:color w:val="000000" w:themeColor="text1"/>
          <w:sz w:val="32"/>
          <w:szCs w:val="32"/>
        </w:rPr>
        <w:t>201</w:t>
      </w:r>
      <w:r>
        <w:rPr>
          <w:rFonts w:hint="eastAsia" w:ascii="仿宋_GB2312" w:eastAsia="仿宋_GB2312"/>
          <w:color w:val="000000" w:themeColor="text1"/>
          <w:sz w:val="32"/>
          <w:szCs w:val="32"/>
        </w:rPr>
        <w:t xml:space="preserve">8年实有在职人员13人，离退休人员0人。 </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本单位没有下属下单位。</w:t>
      </w:r>
    </w:p>
    <w:p>
      <w:pPr>
        <w:ind w:firstLine="640" w:firstLineChars="200"/>
        <w:rPr>
          <w:rFonts w:hint="eastAsia" w:ascii="仿宋_GB2312" w:eastAsia="仿宋_GB2312"/>
          <w:sz w:val="32"/>
          <w:szCs w:val="32"/>
        </w:rPr>
      </w:pPr>
    </w:p>
    <w:p>
      <w:pPr>
        <w:jc w:val="center"/>
        <w:rPr>
          <w:rFonts w:hint="eastAsia" w:ascii="仿宋_GB2312" w:hAnsi="方正小标宋简体" w:eastAsia="仿宋_GB2312" w:cs="方正小标宋简体"/>
          <w:sz w:val="32"/>
          <w:szCs w:val="32"/>
        </w:rPr>
      </w:pPr>
    </w:p>
    <w:p>
      <w:pPr>
        <w:rPr>
          <w:rFonts w:ascii="黑体" w:hAnsi="黑体" w:eastAsia="黑体" w:cs="黑体"/>
          <w:sz w:val="44"/>
          <w:szCs w:val="44"/>
        </w:rPr>
      </w:pPr>
    </w:p>
    <w:p>
      <w:pPr>
        <w:rPr>
          <w:rFonts w:ascii="仿宋_GB2312" w:eastAsia="仿宋_GB2312"/>
          <w:sz w:val="32"/>
          <w:szCs w:val="32"/>
        </w:rPr>
      </w:pPr>
    </w:p>
    <w:p>
      <w:pPr>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年部门预算表</w:t>
      </w:r>
    </w:p>
    <w:p>
      <w:pPr>
        <w:rPr>
          <w:rFonts w:ascii="楷体_GB2312" w:hAnsi="楷体_GB2312" w:eastAsia="楷体_GB2312" w:cs="楷体_GB2312"/>
          <w:sz w:val="32"/>
          <w:szCs w:val="32"/>
        </w:rPr>
      </w:pPr>
    </w:p>
    <w:tbl>
      <w:tblPr>
        <w:tblStyle w:val="8"/>
        <w:tblW w:w="8262" w:type="dxa"/>
        <w:tblInd w:w="93" w:type="dxa"/>
        <w:tblLayout w:type="fixed"/>
        <w:tblCellMar>
          <w:top w:w="0" w:type="dxa"/>
          <w:left w:w="108" w:type="dxa"/>
          <w:bottom w:w="0" w:type="dxa"/>
          <w:right w:w="108" w:type="dxa"/>
        </w:tblCellMar>
      </w:tblPr>
      <w:tblGrid>
        <w:gridCol w:w="2997"/>
        <w:gridCol w:w="1347"/>
        <w:gridCol w:w="2571"/>
        <w:gridCol w:w="1347"/>
      </w:tblGrid>
      <w:tr>
        <w:tblPrEx>
          <w:tblLayout w:type="fixed"/>
          <w:tblCellMar>
            <w:top w:w="0" w:type="dxa"/>
            <w:left w:w="108" w:type="dxa"/>
            <w:bottom w:w="0" w:type="dxa"/>
            <w:right w:w="108" w:type="dxa"/>
          </w:tblCellMar>
        </w:tblPrEx>
        <w:trPr>
          <w:trHeight w:val="422" w:hRule="atLeast"/>
        </w:trPr>
        <w:tc>
          <w:tcPr>
            <w:tcW w:w="299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57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5"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34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34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39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c>
          <w:tcPr>
            <w:tcW w:w="2571"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2" w:hRule="atLeast"/>
        </w:trPr>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c>
          <w:tcPr>
            <w:tcW w:w="257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bl>
    <w:p>
      <w:pPr>
        <w:jc w:val="center"/>
        <w:rPr>
          <w:rFonts w:ascii="方正小标宋简体" w:hAnsi="方正小标宋简体" w:eastAsia="方正小标宋简体" w:cs="方正小标宋简体"/>
          <w:sz w:val="44"/>
          <w:szCs w:val="44"/>
        </w:rPr>
      </w:pPr>
    </w:p>
    <w:p/>
    <w:p/>
    <w:p/>
    <w:p/>
    <w:p/>
    <w:p/>
    <w:p/>
    <w:p/>
    <w:p/>
    <w:p/>
    <w:p/>
    <w:p/>
    <w:p/>
    <w:tbl>
      <w:tblPr>
        <w:tblStyle w:val="8"/>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bl>
    <w:p/>
    <w:p>
      <w:pPr>
        <w:sectPr>
          <w:pgSz w:w="11906" w:h="16838"/>
          <w:pgMar w:top="1440" w:right="1800" w:bottom="1440" w:left="1800" w:header="851" w:footer="992" w:gutter="0"/>
          <w:cols w:space="425" w:num="1"/>
          <w:docGrid w:type="lines" w:linePitch="312" w:charSpace="0"/>
        </w:sectPr>
      </w:pPr>
    </w:p>
    <w:tbl>
      <w:tblPr>
        <w:tblStyle w:val="8"/>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138.29</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109.56</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19.75</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8.98</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33</w:t>
            </w:r>
            <w:r>
              <w:rPr>
                <w:rFonts w:hint="eastAsia" w:ascii="宋体" w:hAnsi="宋体" w:eastAsia="宋体" w:cs="Arial"/>
                <w:color w:val="000000"/>
                <w:kern w:val="0"/>
                <w:sz w:val="20"/>
                <w:szCs w:val="20"/>
              </w:rPr>
              <w:t>.00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33</w:t>
            </w:r>
            <w:r>
              <w:rPr>
                <w:rFonts w:hint="eastAsia" w:ascii="宋体" w:hAnsi="宋体" w:eastAsia="宋体" w:cs="Arial"/>
                <w:color w:val="000000"/>
                <w:kern w:val="0"/>
                <w:sz w:val="20"/>
                <w:szCs w:val="20"/>
              </w:rPr>
              <w:t>.00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bl>
    <w:p>
      <w:pPr>
        <w:sectPr>
          <w:pgSz w:w="11906" w:h="16838"/>
          <w:pgMar w:top="1440" w:right="1800" w:bottom="1440" w:left="1800" w:header="851" w:footer="992" w:gutter="0"/>
          <w:cols w:space="425" w:num="1"/>
          <w:docGrid w:type="lines" w:linePitch="312" w:charSpace="0"/>
        </w:sectPr>
      </w:pPr>
    </w:p>
    <w:tbl>
      <w:tblPr>
        <w:tblStyle w:val="8"/>
        <w:tblW w:w="8455" w:type="dxa"/>
        <w:tblInd w:w="93" w:type="dxa"/>
        <w:tblLayout w:type="fixed"/>
        <w:tblCellMar>
          <w:top w:w="0" w:type="dxa"/>
          <w:left w:w="108" w:type="dxa"/>
          <w:bottom w:w="0" w:type="dxa"/>
          <w:right w:w="108" w:type="dxa"/>
        </w:tblCellMar>
      </w:tblPr>
      <w:tblGrid>
        <w:gridCol w:w="2691"/>
        <w:gridCol w:w="1537"/>
        <w:gridCol w:w="830"/>
        <w:gridCol w:w="895"/>
        <w:gridCol w:w="965"/>
        <w:gridCol w:w="295"/>
        <w:gridCol w:w="1216"/>
        <w:gridCol w:w="26"/>
      </w:tblGrid>
      <w:tr>
        <w:tblPrEx>
          <w:tblLayout w:type="fixed"/>
          <w:tblCellMar>
            <w:top w:w="0" w:type="dxa"/>
            <w:left w:w="108" w:type="dxa"/>
            <w:bottom w:w="0" w:type="dxa"/>
            <w:right w:w="108" w:type="dxa"/>
          </w:tblCellMar>
        </w:tblPrEx>
        <w:trPr>
          <w:trHeight w:val="415" w:hRule="atLeast"/>
        </w:trPr>
        <w:tc>
          <w:tcPr>
            <w:tcW w:w="269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3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90"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37" w:type="dxa"/>
            <w:gridSpan w:val="3"/>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Layout w:type="fixed"/>
          <w:tblCellMar>
            <w:top w:w="0" w:type="dxa"/>
            <w:left w:w="108" w:type="dxa"/>
            <w:bottom w:w="0" w:type="dxa"/>
            <w:right w:w="108" w:type="dxa"/>
          </w:tblCellMar>
        </w:tblPrEx>
        <w:trPr>
          <w:trHeight w:val="514" w:hRule="atLeast"/>
        </w:trPr>
        <w:tc>
          <w:tcPr>
            <w:tcW w:w="8455" w:type="dxa"/>
            <w:gridSpan w:val="8"/>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8" w:type="dxa"/>
            <w:gridSpan w:val="5"/>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537" w:type="dxa"/>
            <w:gridSpan w:val="3"/>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228"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227"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c>
          <w:tcPr>
            <w:tcW w:w="2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c>
          <w:tcPr>
            <w:tcW w:w="269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69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69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c>
          <w:tcPr>
            <w:tcW w:w="269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c>
          <w:tcPr>
            <w:tcW w:w="269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37"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gridAfter w:val="1"/>
          <w:wAfter w:w="26" w:type="dxa"/>
          <w:trHeight w:val="499" w:hRule="atLeast"/>
        </w:trPr>
        <w:tc>
          <w:tcPr>
            <w:tcW w:w="8429" w:type="dxa"/>
            <w:gridSpan w:val="7"/>
            <w:tcBorders>
              <w:top w:val="nil"/>
              <w:left w:val="nil"/>
              <w:bottom w:val="nil"/>
              <w:right w:val="nil"/>
            </w:tcBorders>
            <w:shd w:val="clear" w:color="000000" w:fill="FFFFFF"/>
            <w:vAlign w:val="center"/>
          </w:tcPr>
          <w:p>
            <w:pPr>
              <w:widowControl/>
              <w:jc w:val="center"/>
              <w:rPr>
                <w:rFonts w:hint="eastAsia" w:ascii="宋体" w:hAnsi="宋体" w:eastAsia="宋体" w:cs="Arial"/>
                <w:b/>
                <w:bCs/>
                <w:color w:val="000000"/>
                <w:kern w:val="0"/>
                <w:sz w:val="28"/>
                <w:szCs w:val="28"/>
                <w:lang w:val="en-US" w:eastAsia="zh-CN"/>
              </w:rPr>
            </w:pPr>
            <w:r>
              <w:rPr>
                <w:rFonts w:hint="eastAsia" w:ascii="宋体" w:hAnsi="宋体" w:eastAsia="宋体" w:cs="Arial"/>
                <w:b/>
                <w:bCs/>
                <w:color w:val="000000"/>
                <w:kern w:val="0"/>
                <w:sz w:val="28"/>
                <w:szCs w:val="28"/>
                <w:lang w:val="en-US" w:eastAsia="zh-CN"/>
              </w:rPr>
              <w:t xml:space="preserve">                                                        </w:t>
            </w:r>
            <w:r>
              <w:rPr>
                <w:rFonts w:hint="eastAsia" w:ascii="宋体" w:hAnsi="宋体" w:eastAsia="宋体" w:cs="Arial"/>
                <w:color w:val="000000"/>
                <w:kern w:val="0"/>
                <w:sz w:val="20"/>
                <w:szCs w:val="20"/>
              </w:rPr>
              <w:t>表5</w:t>
            </w:r>
          </w:p>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gridAfter w:val="1"/>
          <w:wAfter w:w="26" w:type="dxa"/>
          <w:trHeight w:val="402" w:hRule="atLeast"/>
        </w:trPr>
        <w:tc>
          <w:tcPr>
            <w:tcW w:w="7213" w:type="dxa"/>
            <w:gridSpan w:val="6"/>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216"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gridAfter w:val="1"/>
          <w:wAfter w:w="26" w:type="dxa"/>
          <w:trHeight w:val="402" w:hRule="atLeast"/>
        </w:trPr>
        <w:tc>
          <w:tcPr>
            <w:tcW w:w="5058"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3371" w:type="dxa"/>
            <w:gridSpan w:val="4"/>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gridAfter w:val="1"/>
          <w:wAfter w:w="26" w:type="dxa"/>
          <w:trHeight w:val="402" w:hRule="atLeast"/>
        </w:trPr>
        <w:tc>
          <w:tcPr>
            <w:tcW w:w="505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895"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260" w:type="dxa"/>
            <w:gridSpan w:val="2"/>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216"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895"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171.29</w:t>
            </w:r>
          </w:p>
        </w:tc>
        <w:tc>
          <w:tcPr>
            <w:tcW w:w="1260"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138.29</w:t>
            </w:r>
          </w:p>
        </w:tc>
        <w:tc>
          <w:tcPr>
            <w:tcW w:w="1216"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33.00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171.29</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138.29</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33.00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60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gridAfter w:val="1"/>
          <w:wAfter w:w="26" w:type="dxa"/>
          <w:trHeight w:val="390" w:hRule="atLeast"/>
        </w:trPr>
        <w:tc>
          <w:tcPr>
            <w:tcW w:w="5058"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8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6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c>
          <w:tcPr>
            <w:tcW w:w="121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bl>
    <w:p/>
    <w:tbl>
      <w:tblPr>
        <w:tblStyle w:val="8"/>
        <w:tblW w:w="8278" w:type="dxa"/>
        <w:tblInd w:w="93" w:type="dxa"/>
        <w:tblLayout w:type="fixed"/>
        <w:tblCellMar>
          <w:top w:w="0" w:type="dxa"/>
          <w:left w:w="108" w:type="dxa"/>
          <w:bottom w:w="0" w:type="dxa"/>
          <w:right w:w="108" w:type="dxa"/>
        </w:tblCellMar>
      </w:tblPr>
      <w:tblGrid>
        <w:gridCol w:w="3352"/>
        <w:gridCol w:w="894"/>
        <w:gridCol w:w="816"/>
        <w:gridCol w:w="1616"/>
        <w:gridCol w:w="27"/>
        <w:gridCol w:w="1189"/>
        <w:gridCol w:w="384"/>
      </w:tblGrid>
      <w:tr>
        <w:tblPrEx>
          <w:tblLayout w:type="fixed"/>
          <w:tblCellMar>
            <w:top w:w="0" w:type="dxa"/>
            <w:left w:w="108" w:type="dxa"/>
            <w:bottom w:w="0" w:type="dxa"/>
            <w:right w:w="108" w:type="dxa"/>
          </w:tblCellMar>
        </w:tblPrEx>
        <w:trPr>
          <w:gridAfter w:val="1"/>
          <w:wAfter w:w="384" w:type="dxa"/>
          <w:trHeight w:val="402" w:hRule="atLeast"/>
        </w:trPr>
        <w:tc>
          <w:tcPr>
            <w:tcW w:w="4246"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4" w:hRule="atLeast"/>
        </w:trPr>
        <w:tc>
          <w:tcPr>
            <w:tcW w:w="335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tc>
        <w:tc>
          <w:tcPr>
            <w:tcW w:w="3353" w:type="dxa"/>
            <w:gridSpan w:val="4"/>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73"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Layout w:type="fixed"/>
          <w:tblCellMar>
            <w:top w:w="0" w:type="dxa"/>
            <w:left w:w="108" w:type="dxa"/>
            <w:bottom w:w="0" w:type="dxa"/>
            <w:right w:w="108" w:type="dxa"/>
          </w:tblCellMar>
        </w:tblPrEx>
        <w:trPr>
          <w:trHeight w:val="527" w:hRule="atLeast"/>
        </w:trPr>
        <w:tc>
          <w:tcPr>
            <w:tcW w:w="8278" w:type="dxa"/>
            <w:gridSpan w:val="7"/>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Layout w:type="fixed"/>
          <w:tblCellMar>
            <w:top w:w="0" w:type="dxa"/>
            <w:left w:w="108" w:type="dxa"/>
            <w:bottom w:w="0" w:type="dxa"/>
            <w:right w:w="108" w:type="dxa"/>
          </w:tblCellMar>
        </w:tblPrEx>
        <w:trPr>
          <w:trHeight w:val="424" w:hRule="atLeast"/>
        </w:trPr>
        <w:tc>
          <w:tcPr>
            <w:tcW w:w="6705" w:type="dxa"/>
            <w:gridSpan w:val="5"/>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573" w:type="dxa"/>
            <w:gridSpan w:val="2"/>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gridSpan w:val="4"/>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gridSpan w:val="2"/>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15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138.29</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109.56</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74.86</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4.42</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val="en-US" w:eastAsia="zh-CN"/>
              </w:rPr>
            </w:pPr>
            <w:r>
              <w:rPr>
                <w:rFonts w:hint="eastAsia" w:ascii="宋体" w:hAnsi="宋体" w:eastAsia="宋体" w:cs="Arial"/>
                <w:color w:val="auto"/>
                <w:kern w:val="0"/>
                <w:sz w:val="20"/>
                <w:szCs w:val="20"/>
                <w:lang w:val="en-US" w:eastAsia="zh-CN"/>
              </w:rPr>
              <w:t>18.38</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ind w:firstLine="200" w:firstLineChars="100"/>
              <w:rPr>
                <w:rFonts w:ascii="宋体" w:hAnsi="宋体" w:eastAsia="宋体" w:cs="Arial"/>
                <w:color w:val="000000"/>
                <w:kern w:val="0"/>
                <w:sz w:val="20"/>
                <w:szCs w:val="20"/>
              </w:rPr>
            </w:pPr>
            <w:r>
              <w:rPr>
                <w:rFonts w:hint="eastAsia" w:ascii="宋体" w:hAnsi="宋体" w:eastAsia="宋体" w:cs="Arial"/>
                <w:color w:val="000000"/>
                <w:kern w:val="0"/>
                <w:sz w:val="20"/>
                <w:szCs w:val="20"/>
              </w:rPr>
              <w:t>[50199]其他工资福利支出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[30106]其他工资福利支出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11.90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19.75</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11.00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5.00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3.00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0.75</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8.98</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auto"/>
                <w:kern w:val="0"/>
                <w:sz w:val="20"/>
                <w:szCs w:val="20"/>
              </w:rPr>
            </w:pPr>
            <w:r>
              <w:rPr>
                <w:rFonts w:hint="eastAsia" w:ascii="宋体" w:hAnsi="宋体" w:eastAsia="宋体" w:cs="Arial"/>
                <w:color w:val="auto"/>
                <w:kern w:val="0"/>
                <w:sz w:val="20"/>
                <w:szCs w:val="20"/>
                <w:lang w:val="en-US" w:eastAsia="zh-CN"/>
              </w:rPr>
              <w:t>0.00</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auto"/>
                <w:kern w:val="0"/>
                <w:sz w:val="20"/>
                <w:szCs w:val="20"/>
                <w:lang w:eastAsia="zh-CN"/>
              </w:rPr>
            </w:pPr>
            <w:r>
              <w:rPr>
                <w:rFonts w:hint="eastAsia" w:ascii="宋体" w:hAnsi="宋体" w:eastAsia="宋体" w:cs="Arial"/>
                <w:color w:val="auto"/>
                <w:kern w:val="0"/>
                <w:sz w:val="20"/>
                <w:szCs w:val="20"/>
                <w:lang w:val="en-US" w:eastAsia="zh-CN"/>
              </w:rPr>
              <w:t>8.98</w:t>
            </w:r>
          </w:p>
        </w:tc>
      </w:tr>
    </w:tbl>
    <w:p/>
    <w:p/>
    <w:p/>
    <w:p/>
    <w:p/>
    <w:p/>
    <w:p/>
    <w:p/>
    <w:p/>
    <w:p/>
    <w:tbl>
      <w:tblPr>
        <w:tblStyle w:val="8"/>
        <w:tblW w:w="8089" w:type="dxa"/>
        <w:tblInd w:w="93" w:type="dxa"/>
        <w:tblLayout w:type="fixed"/>
        <w:tblCellMar>
          <w:top w:w="0" w:type="dxa"/>
          <w:left w:w="108" w:type="dxa"/>
          <w:bottom w:w="0" w:type="dxa"/>
          <w:right w:w="108" w:type="dxa"/>
        </w:tblCellMar>
      </w:tblPr>
      <w:tblGrid>
        <w:gridCol w:w="3396"/>
        <w:gridCol w:w="3396"/>
        <w:gridCol w:w="1297"/>
      </w:tblGrid>
      <w:tr>
        <w:tblPrEx>
          <w:tblLayout w:type="fixed"/>
          <w:tblCellMar>
            <w:top w:w="0" w:type="dxa"/>
            <w:left w:w="108" w:type="dxa"/>
            <w:bottom w:w="0" w:type="dxa"/>
            <w:right w:w="108" w:type="dxa"/>
          </w:tblCellMar>
        </w:tblPrEx>
        <w:trPr>
          <w:trHeight w:val="340" w:hRule="atLeast"/>
        </w:trPr>
        <w:tc>
          <w:tcPr>
            <w:tcW w:w="339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39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97"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Layout w:type="fixed"/>
          <w:tblCellMar>
            <w:top w:w="0" w:type="dxa"/>
            <w:left w:w="108" w:type="dxa"/>
            <w:bottom w:w="0" w:type="dxa"/>
            <w:right w:w="108" w:type="dxa"/>
          </w:tblCellMar>
        </w:tblPrEx>
        <w:trPr>
          <w:trHeight w:val="340" w:hRule="atLeast"/>
        </w:trPr>
        <w:tc>
          <w:tcPr>
            <w:tcW w:w="6792"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297"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396"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96"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297"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40" w:hRule="atLeast"/>
        </w:trPr>
        <w:tc>
          <w:tcPr>
            <w:tcW w:w="33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    计</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40" w:hRule="atLeast"/>
        </w:trPr>
        <w:tc>
          <w:tcPr>
            <w:tcW w:w="339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9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p>
        </w:tc>
      </w:tr>
    </w:tbl>
    <w:p/>
    <w:tbl>
      <w:tblPr>
        <w:tblStyle w:val="8"/>
        <w:tblW w:w="8429" w:type="dxa"/>
        <w:tblInd w:w="93" w:type="dxa"/>
        <w:tblLayout w:type="fixed"/>
        <w:tblCellMar>
          <w:top w:w="0" w:type="dxa"/>
          <w:left w:w="108" w:type="dxa"/>
          <w:bottom w:w="0" w:type="dxa"/>
          <w:right w:w="108" w:type="dxa"/>
        </w:tblCellMar>
      </w:tblPr>
      <w:tblGrid>
        <w:gridCol w:w="6427"/>
        <w:gridCol w:w="309"/>
        <w:gridCol w:w="1693"/>
      </w:tblGrid>
      <w:tr>
        <w:tblPrEx>
          <w:tblLayout w:type="fixed"/>
          <w:tblCellMar>
            <w:top w:w="0" w:type="dxa"/>
            <w:left w:w="108" w:type="dxa"/>
            <w:bottom w:w="0" w:type="dxa"/>
            <w:right w:w="108" w:type="dxa"/>
          </w:tblCellMar>
        </w:tblPrEx>
        <w:trPr>
          <w:trHeight w:val="402" w:hRule="atLeast"/>
        </w:trPr>
        <w:tc>
          <w:tcPr>
            <w:tcW w:w="642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09"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Layout w:type="fixed"/>
          <w:tblCellMar>
            <w:top w:w="0" w:type="dxa"/>
            <w:left w:w="108" w:type="dxa"/>
            <w:bottom w:w="0" w:type="dxa"/>
            <w:right w:w="108" w:type="dxa"/>
          </w:tblCellMar>
        </w:tblPrEx>
        <w:trPr>
          <w:trHeight w:val="499" w:hRule="atLeast"/>
        </w:trPr>
        <w:tc>
          <w:tcPr>
            <w:tcW w:w="8429"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Layout w:type="fixed"/>
          <w:tblCellMar>
            <w:top w:w="0" w:type="dxa"/>
            <w:left w:w="108" w:type="dxa"/>
            <w:bottom w:w="0" w:type="dxa"/>
            <w:right w:w="108" w:type="dxa"/>
          </w:tblCellMar>
        </w:tblPrEx>
        <w:trPr>
          <w:trHeight w:val="402" w:hRule="atLeast"/>
        </w:trPr>
        <w:tc>
          <w:tcPr>
            <w:tcW w:w="67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69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nil"/>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w:t>
            </w:r>
            <w:r>
              <w:rPr>
                <w:rFonts w:hint="eastAsia" w:ascii="宋体" w:hAnsi="宋体" w:eastAsia="宋体" w:cs="Arial"/>
                <w:color w:val="000000"/>
                <w:kern w:val="0"/>
                <w:sz w:val="20"/>
                <w:szCs w:val="20"/>
                <w:lang w:val="en-US" w:eastAsia="zh-CN"/>
              </w:rPr>
              <w:t>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90" w:hRule="atLeast"/>
        </w:trPr>
        <w:tc>
          <w:tcPr>
            <w:tcW w:w="6427" w:type="dxa"/>
            <w:tcBorders>
              <w:top w:val="single" w:color="000000" w:sz="4" w:space="0"/>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171.29</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3.00</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3.00</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val="en-US" w:eastAsia="zh-CN"/>
              </w:rPr>
              <w:t>0.00</w:t>
            </w:r>
          </w:p>
        </w:tc>
      </w:tr>
      <w:tr>
        <w:tblPrEx>
          <w:tblLayout w:type="fixed"/>
          <w:tblCellMar>
            <w:top w:w="0" w:type="dxa"/>
            <w:left w:w="108" w:type="dxa"/>
            <w:bottom w:w="0" w:type="dxa"/>
            <w:right w:w="108" w:type="dxa"/>
          </w:tblCellMar>
        </w:tblPrEx>
        <w:trPr>
          <w:trHeight w:val="390" w:hRule="atLeast"/>
        </w:trPr>
        <w:tc>
          <w:tcPr>
            <w:tcW w:w="6427"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0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19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Layout w:type="fixed"/>
          <w:tblCellMar>
            <w:top w:w="0" w:type="dxa"/>
            <w:left w:w="108" w:type="dxa"/>
            <w:bottom w:w="0" w:type="dxa"/>
            <w:right w:w="108" w:type="dxa"/>
          </w:tblCellMar>
        </w:tblPrEx>
        <w:trPr>
          <w:trHeight w:val="1302" w:hRule="atLeast"/>
        </w:trPr>
        <w:tc>
          <w:tcPr>
            <w:tcW w:w="8429" w:type="dxa"/>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8"/>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w:t>
            </w:r>
            <w:r>
              <w:rPr>
                <w:rFonts w:hint="eastAsia" w:ascii="宋体" w:hAnsi="宋体" w:eastAsia="宋体" w:cs="Arial"/>
                <w:b/>
                <w:bCs/>
                <w:color w:val="000000"/>
                <w:kern w:val="0"/>
                <w:sz w:val="28"/>
                <w:szCs w:val="28"/>
                <w:lang w:val="en-US" w:eastAsia="zh-CN"/>
              </w:rPr>
              <w:t>8</w:t>
            </w:r>
            <w:r>
              <w:rPr>
                <w:rFonts w:hint="eastAsia" w:ascii="宋体" w:hAnsi="宋体" w:eastAsia="宋体" w:cs="Arial"/>
                <w:b/>
                <w:bCs/>
                <w:color w:val="000000"/>
                <w:kern w:val="0"/>
                <w:sz w:val="28"/>
                <w:szCs w:val="28"/>
              </w:rPr>
              <w:t>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p/>
    <w:tbl>
      <w:tblPr>
        <w:tblStyle w:val="8"/>
        <w:tblW w:w="8519" w:type="dxa"/>
        <w:tblInd w:w="93" w:type="dxa"/>
        <w:tblLayout w:type="fixed"/>
        <w:tblCellMar>
          <w:top w:w="0" w:type="dxa"/>
          <w:left w:w="108" w:type="dxa"/>
          <w:bottom w:w="0" w:type="dxa"/>
          <w:right w:w="108" w:type="dxa"/>
        </w:tblCellMar>
      </w:tblPr>
      <w:tblGrid>
        <w:gridCol w:w="3016"/>
        <w:gridCol w:w="616"/>
        <w:gridCol w:w="616"/>
        <w:gridCol w:w="740"/>
        <w:gridCol w:w="772"/>
        <w:gridCol w:w="803"/>
        <w:gridCol w:w="740"/>
        <w:gridCol w:w="1216"/>
      </w:tblGrid>
      <w:tr>
        <w:tblPrEx>
          <w:tblLayout w:type="fixed"/>
          <w:tblCellMar>
            <w:top w:w="0" w:type="dxa"/>
            <w:left w:w="108" w:type="dxa"/>
            <w:bottom w:w="0" w:type="dxa"/>
            <w:right w:w="108" w:type="dxa"/>
          </w:tblCellMar>
        </w:tblPrEx>
        <w:trPr>
          <w:trHeight w:val="429" w:hRule="atLeast"/>
        </w:trPr>
        <w:tc>
          <w:tcPr>
            <w:tcW w:w="30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616"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7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03"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Layout w:type="fixed"/>
          <w:tblCellMar>
            <w:top w:w="0" w:type="dxa"/>
            <w:left w:w="108" w:type="dxa"/>
            <w:bottom w:w="0" w:type="dxa"/>
            <w:right w:w="108" w:type="dxa"/>
          </w:tblCellMar>
        </w:tblPrEx>
        <w:trPr>
          <w:trHeight w:val="533" w:hRule="atLeast"/>
        </w:trPr>
        <w:tc>
          <w:tcPr>
            <w:tcW w:w="8519" w:type="dxa"/>
            <w:gridSpan w:val="8"/>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w:t>
            </w:r>
            <w:r>
              <w:rPr>
                <w:rFonts w:hint="eastAsia" w:ascii="宋体" w:hAnsi="宋体" w:eastAsia="宋体" w:cs="Arial"/>
                <w:b/>
                <w:bCs/>
                <w:kern w:val="0"/>
                <w:sz w:val="28"/>
                <w:szCs w:val="28"/>
                <w:lang w:val="en-US" w:eastAsia="zh-CN"/>
              </w:rPr>
              <w:t>8</w:t>
            </w:r>
            <w:r>
              <w:rPr>
                <w:rFonts w:hint="eastAsia" w:ascii="宋体" w:hAnsi="宋体" w:eastAsia="宋体" w:cs="Arial"/>
                <w:b/>
                <w:bCs/>
                <w:kern w:val="0"/>
                <w:sz w:val="28"/>
                <w:szCs w:val="28"/>
              </w:rPr>
              <w:t>年部门预算基本支出预算表</w:t>
            </w:r>
          </w:p>
        </w:tc>
      </w:tr>
      <w:tr>
        <w:tblPrEx>
          <w:tblLayout w:type="fixed"/>
          <w:tblCellMar>
            <w:top w:w="0" w:type="dxa"/>
            <w:left w:w="108" w:type="dxa"/>
            <w:bottom w:w="0" w:type="dxa"/>
            <w:right w:w="108" w:type="dxa"/>
          </w:tblCellMar>
        </w:tblPrEx>
        <w:trPr>
          <w:trHeight w:val="429" w:hRule="atLeast"/>
        </w:trPr>
        <w:tc>
          <w:tcPr>
            <w:tcW w:w="6563" w:type="dxa"/>
            <w:gridSpan w:val="6"/>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740"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30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6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293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3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616"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740"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772"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03"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30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7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77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0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0.00</w:t>
            </w:r>
          </w:p>
        </w:tc>
      </w:tr>
      <w:tr>
        <w:tblPrEx>
          <w:tblLayout w:type="fixed"/>
          <w:tblCellMar>
            <w:top w:w="0" w:type="dxa"/>
            <w:left w:w="108" w:type="dxa"/>
            <w:bottom w:w="0" w:type="dxa"/>
            <w:right w:w="108" w:type="dxa"/>
          </w:tblCellMar>
        </w:tblPrEx>
        <w:trPr>
          <w:trHeight w:val="429"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30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8"/>
        <w:tblW w:w="8579" w:type="dxa"/>
        <w:tblInd w:w="93" w:type="dxa"/>
        <w:tblLayout w:type="fixed"/>
        <w:tblCellMar>
          <w:top w:w="0" w:type="dxa"/>
          <w:left w:w="108" w:type="dxa"/>
          <w:bottom w:w="0" w:type="dxa"/>
          <w:right w:w="108" w:type="dxa"/>
        </w:tblCellMar>
      </w:tblPr>
      <w:tblGrid>
        <w:gridCol w:w="1627"/>
        <w:gridCol w:w="616"/>
        <w:gridCol w:w="616"/>
        <w:gridCol w:w="953"/>
        <w:gridCol w:w="1038"/>
        <w:gridCol w:w="1122"/>
        <w:gridCol w:w="953"/>
        <w:gridCol w:w="785"/>
        <w:gridCol w:w="869"/>
      </w:tblGrid>
      <w:tr>
        <w:tblPrEx>
          <w:tblLayout w:type="fixed"/>
          <w:tblCellMar>
            <w:top w:w="0" w:type="dxa"/>
            <w:left w:w="108" w:type="dxa"/>
            <w:bottom w:w="0" w:type="dxa"/>
            <w:right w:w="108" w:type="dxa"/>
          </w:tblCellMar>
        </w:tblPrEx>
        <w:trPr>
          <w:trHeight w:val="508" w:hRule="atLeast"/>
        </w:trPr>
        <w:tc>
          <w:tcPr>
            <w:tcW w:w="1627"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616"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616"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5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38"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2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5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8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869"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Layout w:type="fixed"/>
          <w:tblCellMar>
            <w:top w:w="0" w:type="dxa"/>
            <w:left w:w="108" w:type="dxa"/>
            <w:bottom w:w="0" w:type="dxa"/>
            <w:right w:w="108" w:type="dxa"/>
          </w:tblCellMar>
        </w:tblPrEx>
        <w:trPr>
          <w:trHeight w:val="631" w:hRule="atLeast"/>
        </w:trPr>
        <w:tc>
          <w:tcPr>
            <w:tcW w:w="8579" w:type="dxa"/>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w:t>
            </w:r>
            <w:r>
              <w:rPr>
                <w:rFonts w:hint="eastAsia" w:ascii="宋体" w:hAnsi="宋体" w:eastAsia="宋体" w:cs="Arial"/>
                <w:b/>
                <w:bCs/>
                <w:color w:val="000000"/>
                <w:kern w:val="0"/>
                <w:sz w:val="28"/>
                <w:szCs w:val="28"/>
                <w:lang w:val="en-US" w:eastAsia="zh-CN"/>
              </w:rPr>
              <w:t>8</w:t>
            </w:r>
            <w:r>
              <w:rPr>
                <w:rFonts w:hint="eastAsia" w:ascii="宋体" w:hAnsi="宋体" w:eastAsia="宋体" w:cs="Arial"/>
                <w:b/>
                <w:bCs/>
                <w:color w:val="000000"/>
                <w:kern w:val="0"/>
                <w:sz w:val="28"/>
                <w:szCs w:val="28"/>
              </w:rPr>
              <w:t>年部门预算项目支出及其他支出预算表</w:t>
            </w:r>
          </w:p>
        </w:tc>
      </w:tr>
      <w:tr>
        <w:tblPrEx>
          <w:tblLayout w:type="fixed"/>
          <w:tblCellMar>
            <w:top w:w="0" w:type="dxa"/>
            <w:left w:w="108" w:type="dxa"/>
            <w:bottom w:w="0" w:type="dxa"/>
            <w:right w:w="108" w:type="dxa"/>
          </w:tblCellMar>
        </w:tblPrEx>
        <w:trPr>
          <w:trHeight w:val="508" w:hRule="atLeast"/>
        </w:trPr>
        <w:tc>
          <w:tcPr>
            <w:tcW w:w="5972"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Arial"/>
                <w:color w:val="000000"/>
                <w:kern w:val="0"/>
                <w:sz w:val="20"/>
                <w:szCs w:val="20"/>
                <w:lang w:eastAsia="zh-CN"/>
              </w:rPr>
              <w:t>广州海珠（大埔）产业转移工业园管委会</w:t>
            </w:r>
          </w:p>
        </w:tc>
        <w:tc>
          <w:tcPr>
            <w:tcW w:w="953"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8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869"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Layout w:type="fixed"/>
          <w:tblCellMar>
            <w:top w:w="0" w:type="dxa"/>
            <w:left w:w="108" w:type="dxa"/>
            <w:bottom w:w="0" w:type="dxa"/>
            <w:right w:w="108" w:type="dxa"/>
          </w:tblCellMar>
        </w:tblPrEx>
        <w:trPr>
          <w:trHeight w:val="493" w:hRule="atLeast"/>
        </w:trPr>
        <w:tc>
          <w:tcPr>
            <w:tcW w:w="16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6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72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9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7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8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6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8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0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7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Layout w:type="fixed"/>
          <w:tblCellMar>
            <w:top w:w="0" w:type="dxa"/>
            <w:left w:w="108" w:type="dxa"/>
            <w:bottom w:w="0" w:type="dxa"/>
            <w:right w:w="108" w:type="dxa"/>
          </w:tblCellMar>
        </w:tblPrEx>
        <w:trPr>
          <w:trHeight w:val="759" w:hRule="atLeast"/>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6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0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年部门预算情况说明</w:t>
      </w:r>
    </w:p>
    <w:p>
      <w:pPr>
        <w:ind w:firstLine="640" w:firstLineChars="200"/>
        <w:rPr>
          <w:rFonts w:ascii="仿宋_GB2312" w:eastAsia="仿宋_GB2312"/>
          <w:sz w:val="32"/>
          <w:szCs w:val="32"/>
        </w:rPr>
      </w:pP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171.29</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36.24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26.83</w:t>
      </w:r>
      <w:r>
        <w:rPr>
          <w:rFonts w:hint="eastAsia" w:ascii="仿宋_GB2312" w:hAnsi="仿宋_GB2312" w:eastAsia="仿宋_GB2312" w:cs="仿宋_GB2312"/>
          <w:sz w:val="32"/>
          <w:szCs w:val="32"/>
        </w:rPr>
        <w:t>%，主要原因是</w:t>
      </w:r>
      <w:r>
        <w:rPr>
          <w:rFonts w:hint="eastAsia" w:ascii="仿宋_GB2312" w:eastAsia="仿宋_GB2312"/>
          <w:sz w:val="32"/>
          <w:szCs w:val="32"/>
        </w:rPr>
        <w:t>认真贯彻落实中央“八项规定”精神和厉行节约的要求，从严控制经费开支</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171.29</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36.24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26.83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2018年高陂园区正在加紧建设</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47.36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eastAsia="仿宋_GB2312"/>
          <w:sz w:val="32"/>
          <w:szCs w:val="32"/>
        </w:rPr>
        <w:t>认真贯彻落实中央“八项规定”精神和厉行节约的要求，从严控制经费开支</w:t>
      </w:r>
      <w:r>
        <w:rPr>
          <w:rFonts w:hint="eastAsia" w:ascii="仿宋_GB2312" w:hAnsi="仿宋_GB2312" w:eastAsia="仿宋_GB2312" w:cs="仿宋_GB2312"/>
          <w:sz w:val="32"/>
          <w:szCs w:val="32"/>
        </w:rPr>
        <w:t>。其中：因公出国（境）费0.00万元，比上年增加/减少0.00万元，增长/下降0.00%，主要原因是与上年保持不变；公务用车购置及运行费</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.00%，主要原因是</w:t>
      </w:r>
      <w:r>
        <w:rPr>
          <w:rFonts w:hint="eastAsia" w:ascii="仿宋_GB2312" w:hAnsi="仿宋_GB2312" w:eastAsia="仿宋_GB2312" w:cs="仿宋_GB2312"/>
          <w:sz w:val="32"/>
          <w:szCs w:val="32"/>
          <w:lang w:eastAsia="zh-CN"/>
        </w:rPr>
        <w:t>高陂园区正在建设，单位人员经常下乡工作</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0万元，比上年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%，主要原因是</w:t>
      </w:r>
      <w:r>
        <w:rPr>
          <w:rFonts w:hint="eastAsia" w:ascii="仿宋_GB2312" w:eastAsia="仿宋_GB2312"/>
          <w:sz w:val="32"/>
          <w:szCs w:val="32"/>
        </w:rPr>
        <w:t>认真贯彻落实中央“八项规定”精神和厉行节约的要求，从严控制经费开支</w:t>
      </w:r>
      <w:r>
        <w:rPr>
          <w:rFonts w:hint="eastAsia" w:ascii="仿宋_GB2312" w:eastAsia="仿宋_GB2312"/>
          <w:sz w:val="32"/>
          <w:szCs w:val="32"/>
          <w:lang w:eastAsia="zh-CN"/>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171.29</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36.24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26.83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2018年单位增加人员和高陂园区正在加紧建设</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lang w:val="en-US" w:eastAsia="zh-CN"/>
        </w:rPr>
        <w:t>3.00万元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万元，办公用房水电费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万元，公务</w:t>
      </w:r>
      <w:r>
        <w:rPr>
          <w:rFonts w:hint="eastAsia" w:ascii="仿宋_GB2312" w:hAnsi="仿宋_GB2312" w:eastAsia="仿宋_GB2312" w:cs="仿宋_GB2312"/>
          <w:sz w:val="32"/>
          <w:szCs w:val="32"/>
          <w:lang w:eastAsia="zh-CN"/>
        </w:rPr>
        <w:t>接待</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lang w:val="en-US" w:eastAsia="zh-CN"/>
        </w:rPr>
        <w:t>5.00万元，维修（护）费0.75万元</w:t>
      </w:r>
      <w:r>
        <w:rPr>
          <w:rFonts w:hint="eastAsia" w:ascii="仿宋_GB2312" w:hAnsi="仿宋_GB2312" w:eastAsia="仿宋_GB2312" w:cs="仿宋_GB2312"/>
          <w:sz w:val="32"/>
          <w:szCs w:val="32"/>
        </w:rPr>
        <w:t>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年本部门政府采购安排0.00万元，其中：货物类采购预算0.00万元，工程类采购预算0.00万元，服务类采购预算0.00万元等。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年12月31日，本部门占有使用国有资产总体情况为</w:t>
      </w:r>
      <w:r>
        <w:rPr>
          <w:rFonts w:hint="eastAsia" w:ascii="仿宋_GB2312" w:hAnsi="仿宋_GB2312" w:eastAsia="仿宋_GB2312" w:cs="仿宋_GB2312"/>
          <w:sz w:val="32"/>
          <w:szCs w:val="32"/>
          <w:lang w:val="en-US" w:eastAsia="zh-CN"/>
        </w:rPr>
        <w:t>1788.3</w:t>
      </w:r>
      <w:r>
        <w:rPr>
          <w:rFonts w:hint="eastAsia" w:ascii="仿宋_GB2312" w:hAnsi="仿宋_GB2312" w:eastAsia="仿宋_GB2312" w:cs="仿宋_GB2312"/>
          <w:sz w:val="32"/>
          <w:szCs w:val="32"/>
        </w:rPr>
        <w:t>万元，分布构成情况为：</w:t>
      </w:r>
      <w:r>
        <w:rPr>
          <w:rFonts w:hint="eastAsia" w:ascii="仿宋_GB2312" w:eastAsia="仿宋_GB2312"/>
          <w:color w:val="000000"/>
          <w:sz w:val="32"/>
          <w:szCs w:val="32"/>
        </w:rPr>
        <w:t>通用设备</w:t>
      </w:r>
      <w:r>
        <w:rPr>
          <w:rFonts w:hint="eastAsia" w:ascii="仿宋_GB2312" w:eastAsia="仿宋_GB2312"/>
          <w:sz w:val="32"/>
          <w:szCs w:val="32"/>
          <w:lang w:val="en-US" w:eastAsia="zh-CN"/>
        </w:rPr>
        <w:t>19.03</w:t>
      </w:r>
      <w:r>
        <w:rPr>
          <w:rFonts w:hint="eastAsia" w:ascii="仿宋_GB2312" w:eastAsia="仿宋_GB2312"/>
          <w:sz w:val="32"/>
          <w:szCs w:val="32"/>
        </w:rPr>
        <w:t>万元；</w:t>
      </w:r>
      <w:r>
        <w:rPr>
          <w:rFonts w:hint="eastAsia" w:ascii="仿宋_GB2312" w:eastAsia="仿宋_GB2312"/>
          <w:color w:val="000000"/>
          <w:sz w:val="32"/>
          <w:szCs w:val="32"/>
        </w:rPr>
        <w:t>家具、用具、装具及动植物</w:t>
      </w:r>
      <w:r>
        <w:rPr>
          <w:rFonts w:hint="eastAsia" w:ascii="仿宋_GB2312" w:eastAsia="仿宋_GB2312"/>
          <w:sz w:val="32"/>
          <w:szCs w:val="32"/>
          <w:lang w:val="en-US" w:eastAsia="zh-CN"/>
        </w:rPr>
        <w:t>2.61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000000"/>
          <w:sz w:val="32"/>
          <w:szCs w:val="32"/>
        </w:rPr>
        <w:t>土地、房屋及构筑物为</w:t>
      </w:r>
      <w:r>
        <w:rPr>
          <w:rFonts w:hint="eastAsia" w:ascii="仿宋_GB2312" w:eastAsia="仿宋_GB2312"/>
          <w:sz w:val="32"/>
          <w:szCs w:val="32"/>
          <w:lang w:val="en-US" w:eastAsia="zh-CN"/>
        </w:rPr>
        <w:t>1766.65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cs="仿宋_GB2312"/>
          <w:sz w:val="32"/>
          <w:szCs w:val="32"/>
        </w:rPr>
        <w:t>主要实物资产数据情况为</w:t>
      </w:r>
      <w:r>
        <w:rPr>
          <w:rFonts w:hint="eastAsia" w:ascii="仿宋_GB2312" w:hAnsi="仿宋_GB2312" w:eastAsia="仿宋_GB2312" w:cs="仿宋_GB2312"/>
          <w:sz w:val="32"/>
          <w:szCs w:val="32"/>
          <w:lang w:val="en-US" w:eastAsia="zh-CN"/>
        </w:rPr>
        <w:t>1788.3</w:t>
      </w:r>
      <w:r>
        <w:rPr>
          <w:rFonts w:hint="eastAsia" w:ascii="仿宋_GB2312" w:hAnsi="仿宋_GB2312" w:eastAsia="仿宋_GB2312" w:cs="仿宋_GB2312"/>
          <w:sz w:val="32"/>
          <w:szCs w:val="32"/>
        </w:rPr>
        <w:t>万元，资产变动情况为：0万元。</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年，本部门未推进预算绩效信息公开的有关工作情况。</w:t>
      </w:r>
    </w:p>
    <w:p>
      <w:pPr>
        <w:jc w:val="center"/>
        <w:rPr>
          <w:rFonts w:ascii="方正小标宋简体" w:hAnsi="方正小标宋简体" w:eastAsia="方正小标宋简体" w:cs="方正小标宋简体"/>
          <w:sz w:val="44"/>
          <w:szCs w:val="44"/>
        </w:rPr>
      </w:pPr>
      <w:bookmarkStart w:id="0" w:name="_GoBack"/>
      <w:bookmarkEnd w:id="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、一般公共预算：指对以税收为主体的财政收入，安排用于保障和改善民生、推动经济社会发展、维护国家安全、维持国家机构正常运转等方面的收支预算。</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rPr>
        <w:t>、非税收入：指除税收和政府债务收入以外，由各级各级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4</w:t>
      </w:r>
      <w:r>
        <w:rPr>
          <w:rFonts w:hint="eastAsia" w:ascii="仿宋_GB2312" w:hAnsi="Times New Roman" w:eastAsia="仿宋_GB2312" w:cs="仿宋_GB2312"/>
          <w:kern w:val="0"/>
          <w:sz w:val="32"/>
          <w:szCs w:val="32"/>
        </w:rPr>
        <w:t>、财政拨款收入：指市级财政当年拨付的资金。</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5</w:t>
      </w:r>
      <w:r>
        <w:rPr>
          <w:rFonts w:hint="eastAsia" w:ascii="仿宋_GB2312" w:hAnsi="Times New Roman" w:eastAsia="仿宋_GB2312" w:cs="仿宋_GB2312"/>
          <w:kern w:val="0"/>
          <w:sz w:val="32"/>
          <w:szCs w:val="32"/>
        </w:rPr>
        <w:t>、其他收入：指除“财政拨款收入”</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事业收入”、“经营收入”等以外的收入。</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6</w:t>
      </w:r>
      <w:r>
        <w:rPr>
          <w:rFonts w:hint="eastAsia" w:ascii="仿宋_GB2312" w:hAnsi="Times New Roman" w:eastAsia="仿宋_GB2312" w:cs="仿宋_GB2312"/>
          <w:kern w:val="0"/>
          <w:sz w:val="32"/>
          <w:szCs w:val="32"/>
        </w:rPr>
        <w:t>、年初结转和结余：指以前年度尚未完成、结转到本年仍按原规定用途继续使用的资金，或项目已完成等产生的结余资金。</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7</w:t>
      </w:r>
      <w:r>
        <w:rPr>
          <w:rFonts w:hint="eastAsia" w:ascii="仿宋_GB2312" w:hAnsi="Times New Roman" w:eastAsia="仿宋_GB2312" w:cs="仿宋_GB2312"/>
          <w:kern w:val="0"/>
          <w:sz w:val="32"/>
          <w:szCs w:val="32"/>
        </w:rPr>
        <w:t>、年末结转和结余：指单位按照有关规定结转到下年继续使用的资金，或项目已完成等产生的结余资金。</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8</w:t>
      </w:r>
      <w:r>
        <w:rPr>
          <w:rFonts w:hint="eastAsia" w:ascii="仿宋_GB2312" w:hAnsi="Times New Roman" w:eastAsia="仿宋_GB2312" w:cs="仿宋_GB2312"/>
          <w:kern w:val="0"/>
          <w:sz w:val="32"/>
          <w:szCs w:val="32"/>
        </w:rPr>
        <w:t>、基本支出：指单位为保障机构正常运转、完成日常工作任务而发生的人员支出和公用支出。</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9</w:t>
      </w:r>
      <w:r>
        <w:rPr>
          <w:rFonts w:hint="eastAsia" w:ascii="仿宋_GB2312" w:hAnsi="Times New Roman" w:eastAsia="仿宋_GB2312" w:cs="仿宋_GB2312"/>
          <w:kern w:val="0"/>
          <w:sz w:val="32"/>
          <w:szCs w:val="32"/>
        </w:rPr>
        <w:t>、项目支出：指单位在基本支出之外为完成特定的工作任务或事业发展目标所发生的支出。</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10</w:t>
      </w:r>
      <w:r>
        <w:rPr>
          <w:rFonts w:hint="eastAsia" w:ascii="仿宋_GB2312" w:hAnsi="Times New Roman" w:eastAsia="仿宋_GB2312" w:cs="仿宋_GB2312"/>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autoSpaceDE w:val="0"/>
        <w:autoSpaceDN w:val="0"/>
        <w:adjustRightInd w:val="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11</w:t>
      </w:r>
      <w:r>
        <w:rPr>
          <w:rFonts w:hint="eastAsia" w:ascii="仿宋_GB2312" w:hAnsi="Times New Roman" w:eastAsia="仿宋_GB2312" w:cs="仿宋_GB2312"/>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宋体,微软雅黑">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808DA"/>
    <w:rsid w:val="000A5401"/>
    <w:rsid w:val="000C3537"/>
    <w:rsid w:val="000D1B17"/>
    <w:rsid w:val="000D716E"/>
    <w:rsid w:val="00114279"/>
    <w:rsid w:val="00154B59"/>
    <w:rsid w:val="001A6815"/>
    <w:rsid w:val="001C3D0A"/>
    <w:rsid w:val="0024119B"/>
    <w:rsid w:val="00332D9F"/>
    <w:rsid w:val="00335C42"/>
    <w:rsid w:val="00365F4B"/>
    <w:rsid w:val="0036695F"/>
    <w:rsid w:val="0039454D"/>
    <w:rsid w:val="003F7E37"/>
    <w:rsid w:val="00457424"/>
    <w:rsid w:val="0048089B"/>
    <w:rsid w:val="00505B4A"/>
    <w:rsid w:val="00567C77"/>
    <w:rsid w:val="005A4304"/>
    <w:rsid w:val="005B4507"/>
    <w:rsid w:val="005B4791"/>
    <w:rsid w:val="005C0C09"/>
    <w:rsid w:val="005E3503"/>
    <w:rsid w:val="005F7D91"/>
    <w:rsid w:val="00623C66"/>
    <w:rsid w:val="006255B8"/>
    <w:rsid w:val="0068417A"/>
    <w:rsid w:val="006B51C2"/>
    <w:rsid w:val="006D6509"/>
    <w:rsid w:val="007E47BB"/>
    <w:rsid w:val="007F32F7"/>
    <w:rsid w:val="00854799"/>
    <w:rsid w:val="008C31CC"/>
    <w:rsid w:val="00915A98"/>
    <w:rsid w:val="0091710A"/>
    <w:rsid w:val="00925C68"/>
    <w:rsid w:val="00925CAA"/>
    <w:rsid w:val="009327E6"/>
    <w:rsid w:val="009C04E7"/>
    <w:rsid w:val="009F36C1"/>
    <w:rsid w:val="00A04A53"/>
    <w:rsid w:val="00A217B1"/>
    <w:rsid w:val="00A331AB"/>
    <w:rsid w:val="00A50396"/>
    <w:rsid w:val="00A56614"/>
    <w:rsid w:val="00A84CE6"/>
    <w:rsid w:val="00B33320"/>
    <w:rsid w:val="00BD7887"/>
    <w:rsid w:val="00BF50CA"/>
    <w:rsid w:val="00C76375"/>
    <w:rsid w:val="00C7663D"/>
    <w:rsid w:val="00C87A8E"/>
    <w:rsid w:val="00CF3C31"/>
    <w:rsid w:val="00D0003E"/>
    <w:rsid w:val="00D17150"/>
    <w:rsid w:val="00DA497E"/>
    <w:rsid w:val="00DE7C84"/>
    <w:rsid w:val="00E218B9"/>
    <w:rsid w:val="00EA3A29"/>
    <w:rsid w:val="00EA4F11"/>
    <w:rsid w:val="00F1381A"/>
    <w:rsid w:val="00F83FBF"/>
    <w:rsid w:val="036C42FC"/>
    <w:rsid w:val="03B637A6"/>
    <w:rsid w:val="06A726B4"/>
    <w:rsid w:val="07E43D9F"/>
    <w:rsid w:val="08DC1FE2"/>
    <w:rsid w:val="0917165A"/>
    <w:rsid w:val="13016A31"/>
    <w:rsid w:val="15540D42"/>
    <w:rsid w:val="158E25FE"/>
    <w:rsid w:val="15B0454D"/>
    <w:rsid w:val="15C1134C"/>
    <w:rsid w:val="161020AE"/>
    <w:rsid w:val="182145A4"/>
    <w:rsid w:val="18C54B11"/>
    <w:rsid w:val="18D50707"/>
    <w:rsid w:val="19553B64"/>
    <w:rsid w:val="1D393CEA"/>
    <w:rsid w:val="20EE6A13"/>
    <w:rsid w:val="23A759F9"/>
    <w:rsid w:val="28DC6A41"/>
    <w:rsid w:val="29894C12"/>
    <w:rsid w:val="2C3B2C83"/>
    <w:rsid w:val="33F80B43"/>
    <w:rsid w:val="35132E13"/>
    <w:rsid w:val="36E602DD"/>
    <w:rsid w:val="37200149"/>
    <w:rsid w:val="382841B5"/>
    <w:rsid w:val="3AB25DC2"/>
    <w:rsid w:val="42951C6E"/>
    <w:rsid w:val="4DD11512"/>
    <w:rsid w:val="50CB6A87"/>
    <w:rsid w:val="51B064E1"/>
    <w:rsid w:val="523D4223"/>
    <w:rsid w:val="52F62AA4"/>
    <w:rsid w:val="55C96EED"/>
    <w:rsid w:val="56002E70"/>
    <w:rsid w:val="57B84031"/>
    <w:rsid w:val="5B3B0602"/>
    <w:rsid w:val="5C8F52B5"/>
    <w:rsid w:val="60E37A9B"/>
    <w:rsid w:val="66BD3F49"/>
    <w:rsid w:val="66D06120"/>
    <w:rsid w:val="685C62F6"/>
    <w:rsid w:val="68636E7D"/>
    <w:rsid w:val="6D9B07DA"/>
    <w:rsid w:val="70B400C8"/>
    <w:rsid w:val="726770C0"/>
    <w:rsid w:val="73BF04FD"/>
    <w:rsid w:val="79551E44"/>
    <w:rsid w:val="7A3D118F"/>
    <w:rsid w:val="7A8D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unhideWhenUsed/>
    <w:qFormat/>
    <w:uiPriority w:val="99"/>
    <w:rPr>
      <w:color w:val="0000FF"/>
      <w:u w:val="single"/>
    </w:r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1429</Words>
  <Characters>8147</Characters>
  <Lines>67</Lines>
  <Paragraphs>19</Paragraphs>
  <ScaleCrop>false</ScaleCrop>
  <LinksUpToDate>false</LinksUpToDate>
  <CharactersWithSpaces>9557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2018-04-03T01:52:00Z</dcterms:created>
  <dc:creator>huangzj</dc:creator>
  <cp:lastModifiedBy>Administrator</cp:lastModifiedBy>
  <cp:lastPrinted>2018-04-12T08:30:07Z</cp:lastPrinted>
  <dcterms:modified xsi:type="dcterms:W3CDTF">2018-04-12T09:18:09Z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