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ind w:firstLine="660" w:firstLineChars="150"/>
        <w:jc w:val="center"/>
        <w:rPr>
          <w:rFonts w:ascii="方正小标宋简体" w:eastAsia="方正小标宋简体"/>
          <w:sz w:val="44"/>
          <w:szCs w:val="44"/>
        </w:rPr>
      </w:pPr>
      <w:r>
        <w:rPr>
          <w:rFonts w:hint="eastAsia" w:ascii="方正小标宋简体" w:eastAsia="方正小标宋简体"/>
          <w:sz w:val="44"/>
          <w:szCs w:val="44"/>
          <w:lang w:eastAsia="zh-CN"/>
        </w:rPr>
        <w:t>大埔县移民工作局</w:t>
      </w:r>
      <w:bookmarkStart w:id="0" w:name="_GoBack"/>
      <w:bookmarkEnd w:id="0"/>
      <w:r>
        <w:rPr>
          <w:rFonts w:hint="eastAsia" w:ascii="方正小标宋简体" w:eastAsia="方正小标宋简体"/>
          <w:sz w:val="44"/>
          <w:szCs w:val="44"/>
        </w:rPr>
        <w:t>部门决算公开</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2015年</w:t>
      </w:r>
      <w:r>
        <w:rPr>
          <w:rFonts w:hint="eastAsia" w:ascii="方正小标宋简体" w:eastAsia="方正小标宋简体"/>
          <w:sz w:val="44"/>
          <w:szCs w:val="44"/>
          <w:lang w:eastAsia="zh-CN"/>
        </w:rPr>
        <w:t>）</w:t>
      </w:r>
    </w:p>
    <w:p>
      <w:pPr>
        <w:ind w:left="420"/>
        <w:jc w:val="center"/>
        <w:rPr>
          <w:rFonts w:ascii="黑体" w:hAnsi="宋体" w:eastAsia="黑体"/>
          <w:b/>
          <w:sz w:val="44"/>
          <w:szCs w:val="44"/>
        </w:rPr>
      </w:pPr>
      <w:r>
        <w:rPr>
          <w:rFonts w:hint="eastAsia" w:ascii="方正小标宋简体" w:eastAsia="方正小标宋简体"/>
          <w:sz w:val="44"/>
          <w:szCs w:val="44"/>
        </w:rPr>
        <w:br w:type="page"/>
      </w:r>
      <w:r>
        <w:rPr>
          <w:rFonts w:hint="eastAsia" w:ascii="黑体" w:hAnsi="宋体" w:eastAsia="黑体"/>
          <w:b/>
          <w:sz w:val="44"/>
          <w:szCs w:val="44"/>
        </w:rPr>
        <w:t>目       录</w:t>
      </w:r>
    </w:p>
    <w:p>
      <w:pPr>
        <w:jc w:val="center"/>
        <w:rPr>
          <w:rFonts w:ascii="仿宋_GB2312" w:hAnsi="宋体" w:eastAsia="仿宋_GB2312"/>
          <w:sz w:val="32"/>
          <w:szCs w:val="32"/>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大埔县移民工作局</w:t>
      </w:r>
      <w:r>
        <w:rPr>
          <w:rFonts w:hint="eastAsia" w:ascii="宋体" w:hAnsi="宋体"/>
          <w:b/>
          <w:sz w:val="36"/>
          <w:szCs w:val="36"/>
        </w:rPr>
        <w:t>概况</w:t>
      </w:r>
    </w:p>
    <w:p>
      <w:pPr>
        <w:spacing w:line="288" w:lineRule="auto"/>
        <w:ind w:firstLine="800" w:firstLineChars="250"/>
        <w:rPr>
          <w:rFonts w:ascii="仿宋_GB2312" w:eastAsia="仿宋_GB2312"/>
          <w:sz w:val="32"/>
          <w:szCs w:val="32"/>
        </w:rPr>
      </w:pPr>
      <w:r>
        <w:rPr>
          <w:rFonts w:hint="eastAsia" w:ascii="仿宋_GB2312" w:eastAsia="仿宋_GB2312"/>
          <w:sz w:val="32"/>
          <w:szCs w:val="32"/>
        </w:rPr>
        <w:t>一、 部门职责</w:t>
      </w:r>
    </w:p>
    <w:p>
      <w:pPr>
        <w:spacing w:line="288" w:lineRule="auto"/>
        <w:ind w:firstLine="800" w:firstLineChars="250"/>
        <w:rPr>
          <w:rFonts w:ascii="仿宋_GB2312" w:eastAsia="仿宋_GB2312"/>
          <w:sz w:val="32"/>
          <w:szCs w:val="32"/>
        </w:rPr>
      </w:pPr>
      <w:r>
        <w:rPr>
          <w:rFonts w:hint="eastAsia" w:ascii="仿宋_GB2312" w:eastAsia="仿宋_GB2312"/>
          <w:sz w:val="32"/>
          <w:szCs w:val="32"/>
        </w:rPr>
        <w:t>二、 机构设置</w:t>
      </w: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第二部分   </w:t>
      </w:r>
      <w:r>
        <w:rPr>
          <w:rFonts w:hint="eastAsia" w:ascii="宋体" w:hAnsi="宋体"/>
          <w:b/>
          <w:sz w:val="36"/>
          <w:szCs w:val="36"/>
          <w:lang w:eastAsia="zh-CN"/>
        </w:rPr>
        <w:t>大埔县移民工作局</w:t>
      </w:r>
      <w:r>
        <w:rPr>
          <w:rFonts w:hint="eastAsia" w:ascii="宋体" w:hAnsi="宋体"/>
          <w:b/>
          <w:sz w:val="36"/>
          <w:szCs w:val="36"/>
          <w:lang w:val="en-US" w:eastAsia="zh-CN"/>
        </w:rPr>
        <w:t>2015</w:t>
      </w:r>
      <w:r>
        <w:rPr>
          <w:rFonts w:hint="eastAsia" w:ascii="宋体" w:hAnsi="宋体"/>
          <w:b/>
          <w:sz w:val="36"/>
          <w:szCs w:val="36"/>
        </w:rPr>
        <w:t>年部门决算表</w:t>
      </w:r>
    </w:p>
    <w:p>
      <w:pPr>
        <w:spacing w:line="288" w:lineRule="auto"/>
        <w:ind w:firstLine="640" w:firstLineChars="200"/>
        <w:rPr>
          <w:rFonts w:ascii="仿宋_GB2312" w:eastAsia="仿宋_GB2312"/>
          <w:b/>
          <w:sz w:val="32"/>
          <w:szCs w:val="32"/>
        </w:rPr>
      </w:pPr>
      <w:r>
        <w:rPr>
          <w:rFonts w:hint="eastAsia" w:ascii="仿宋_GB2312" w:eastAsia="仿宋_GB2312"/>
          <w:sz w:val="32"/>
          <w:szCs w:val="32"/>
        </w:rPr>
        <w:t>一、</w:t>
      </w:r>
      <w:r>
        <w:rPr>
          <w:rFonts w:hint="eastAsia" w:ascii="仿宋_GB2312" w:hAnsi="宋体" w:eastAsia="仿宋_GB2312" w:cs="宋体"/>
          <w:kern w:val="0"/>
          <w:sz w:val="32"/>
          <w:szCs w:val="32"/>
        </w:rPr>
        <w:t>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eastAsia="仿宋_GB2312"/>
          <w:sz w:val="32"/>
          <w:szCs w:val="32"/>
        </w:rPr>
        <w:t>二、</w:t>
      </w:r>
      <w:r>
        <w:rPr>
          <w:rFonts w:hint="eastAsia" w:ascii="仿宋_GB2312" w:hAnsi="宋体" w:eastAsia="仿宋_GB2312" w:cs="宋体"/>
          <w:kern w:val="0"/>
          <w:sz w:val="32"/>
          <w:szCs w:val="32"/>
        </w:rPr>
        <w:t>收入决算表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三、支出决算表</w:t>
      </w:r>
    </w:p>
    <w:p>
      <w:pPr>
        <w:spacing w:line="288" w:lineRule="auto"/>
        <w:ind w:firstLine="640" w:firstLineChars="200"/>
        <w:outlineLvl w:val="0"/>
        <w:rPr>
          <w:rFonts w:ascii="仿宋_GB2312" w:eastAsia="仿宋_GB2312"/>
          <w:sz w:val="32"/>
          <w:szCs w:val="32"/>
        </w:rPr>
      </w:pPr>
      <w:r>
        <w:rPr>
          <w:rFonts w:hint="eastAsia" w:ascii="仿宋_GB2312" w:hAnsi="宋体" w:eastAsia="仿宋_GB2312" w:cs="宋体"/>
          <w:kern w:val="0"/>
          <w:sz w:val="32"/>
          <w:szCs w:val="32"/>
        </w:rPr>
        <w:t>四、财政拨款收入支出决算总表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五、一般公共预算财政拨款支出决算表</w:t>
      </w:r>
    </w:p>
    <w:p>
      <w:pPr>
        <w:spacing w:line="288" w:lineRule="auto"/>
        <w:ind w:firstLine="640" w:firstLineChars="200"/>
        <w:rPr>
          <w:rFonts w:ascii="仿宋_GB2312" w:eastAsia="仿宋_GB2312"/>
          <w:sz w:val="32"/>
          <w:szCs w:val="32"/>
        </w:rPr>
      </w:pPr>
      <w:r>
        <w:rPr>
          <w:rFonts w:hint="eastAsia" w:ascii="仿宋_GB2312" w:hAnsi="宋体" w:eastAsia="仿宋_GB2312" w:cs="宋体"/>
          <w:kern w:val="0"/>
          <w:sz w:val="32"/>
          <w:szCs w:val="32"/>
        </w:rPr>
        <w:t>六、一般公共预算财政拨款基本支出决算表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七、一般公共预算财政拨款“三公”经费支出决算表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八、政府性基金预算财政拨款收入支出决算表</w:t>
      </w: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第三部分   </w:t>
      </w:r>
      <w:r>
        <w:rPr>
          <w:rFonts w:hint="eastAsia" w:ascii="宋体" w:hAnsi="宋体"/>
          <w:b/>
          <w:sz w:val="36"/>
          <w:szCs w:val="36"/>
          <w:lang w:eastAsia="zh-CN"/>
        </w:rPr>
        <w:t>大埔县移民工作局</w:t>
      </w:r>
      <w:r>
        <w:rPr>
          <w:rFonts w:hint="eastAsia" w:ascii="宋体" w:hAnsi="宋体"/>
          <w:b/>
          <w:sz w:val="36"/>
          <w:szCs w:val="36"/>
          <w:lang w:val="en-US" w:eastAsia="zh-CN"/>
        </w:rPr>
        <w:t>2015</w:t>
      </w:r>
      <w:r>
        <w:rPr>
          <w:rFonts w:hint="eastAsia" w:ascii="宋体" w:hAnsi="宋体"/>
          <w:b/>
          <w:sz w:val="36"/>
          <w:szCs w:val="36"/>
        </w:rPr>
        <w:t>年部门决算情况说明</w:t>
      </w:r>
    </w:p>
    <w:p>
      <w:pPr>
        <w:spacing w:line="288" w:lineRule="auto"/>
        <w:ind w:firstLine="643" w:firstLineChars="200"/>
        <w:rPr>
          <w:rFonts w:ascii="仿宋_GB2312" w:eastAsia="仿宋_GB2312"/>
          <w:b/>
          <w:sz w:val="32"/>
          <w:szCs w:val="32"/>
        </w:rPr>
      </w:pPr>
    </w:p>
    <w:p>
      <w:pPr>
        <w:spacing w:line="288" w:lineRule="auto"/>
        <w:ind w:firstLine="723" w:firstLineChars="200"/>
        <w:rPr>
          <w:rFonts w:ascii="宋体" w:hAnsi="宋体"/>
          <w:b/>
          <w:sz w:val="36"/>
          <w:szCs w:val="36"/>
        </w:rPr>
      </w:pPr>
      <w:r>
        <w:rPr>
          <w:rFonts w:hint="eastAsia" w:ascii="宋体" w:hAnsi="宋体"/>
          <w:b/>
          <w:sz w:val="36"/>
          <w:szCs w:val="36"/>
        </w:rPr>
        <w:t>第四部分  名词解释</w:t>
      </w: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第一部分   </w:t>
      </w:r>
      <w:r>
        <w:rPr>
          <w:rFonts w:hint="eastAsia" w:ascii="宋体" w:hAnsi="宋体"/>
          <w:b/>
          <w:sz w:val="36"/>
          <w:szCs w:val="36"/>
          <w:lang w:eastAsia="zh-CN"/>
        </w:rPr>
        <w:t>大埔县移民工作局</w:t>
      </w:r>
      <w:r>
        <w:rPr>
          <w:rFonts w:hint="eastAsia" w:ascii="宋体" w:hAnsi="宋体"/>
          <w:b/>
          <w:sz w:val="36"/>
          <w:szCs w:val="36"/>
        </w:rPr>
        <w:t>概况</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eastAsia="zh-CN"/>
        </w:rPr>
        <w:t>大埔县移民工作</w:t>
      </w:r>
      <w:r>
        <w:rPr>
          <w:rFonts w:hint="eastAsia" w:ascii="仿宋_GB2312" w:eastAsia="仿宋_GB2312"/>
          <w:b/>
          <w:sz w:val="32"/>
          <w:szCs w:val="32"/>
        </w:rPr>
        <w:t>主要职责</w:t>
      </w:r>
    </w:p>
    <w:p>
      <w:pPr>
        <w:spacing w:line="360" w:lineRule="auto"/>
        <w:ind w:firstLine="560" w:firstLineChars="200"/>
        <w:rPr>
          <w:rFonts w:hint="eastAsia" w:ascii="宋体" w:hAnsi="宋体"/>
          <w:sz w:val="28"/>
          <w:szCs w:val="28"/>
        </w:rPr>
      </w:pPr>
      <w:r>
        <w:rPr>
          <w:rFonts w:hint="eastAsia" w:ascii="宋体" w:hAnsi="宋体"/>
          <w:sz w:val="28"/>
          <w:szCs w:val="28"/>
        </w:rPr>
        <w:t>（一）负责贯彻执行国家、省、市有关水利水电工程移民工作的方针、政策、法侓法规和地方性规章及规定。</w:t>
      </w:r>
    </w:p>
    <w:p>
      <w:pPr>
        <w:spacing w:line="360" w:lineRule="auto"/>
        <w:ind w:firstLine="560" w:firstLineChars="200"/>
        <w:rPr>
          <w:rFonts w:ascii="宋体" w:hAnsi="宋体"/>
          <w:sz w:val="28"/>
          <w:szCs w:val="28"/>
        </w:rPr>
      </w:pPr>
      <w:r>
        <w:rPr>
          <w:rFonts w:hint="eastAsia" w:ascii="宋体" w:hAnsi="宋体"/>
          <w:sz w:val="28"/>
          <w:szCs w:val="28"/>
        </w:rPr>
        <w:t>（二）负责全县已建、在建、新建水利水电工程移民工作的管理。</w:t>
      </w:r>
    </w:p>
    <w:p>
      <w:pPr>
        <w:spacing w:line="360" w:lineRule="auto"/>
        <w:ind w:left="420" w:leftChars="200" w:firstLine="140" w:firstLineChars="50"/>
        <w:rPr>
          <w:rFonts w:hint="eastAsia" w:ascii="宋体" w:hAnsi="宋体"/>
          <w:sz w:val="28"/>
          <w:szCs w:val="28"/>
        </w:rPr>
      </w:pPr>
      <w:r>
        <w:rPr>
          <w:rFonts w:hint="eastAsia" w:ascii="宋体" w:hAnsi="宋体"/>
          <w:sz w:val="28"/>
          <w:szCs w:val="28"/>
        </w:rPr>
        <w:t>（三）负责编制全县水库移民后期扶持规划，并负责监督实施。（四）负责编制全县水库移民后期扶持年度项目计划，同时组织对实施项目的检查验收。</w:t>
      </w:r>
    </w:p>
    <w:p>
      <w:pPr>
        <w:spacing w:line="360" w:lineRule="auto"/>
        <w:ind w:left="420" w:leftChars="200" w:firstLine="140" w:firstLineChars="50"/>
        <w:rPr>
          <w:rFonts w:hint="eastAsia" w:ascii="宋体" w:hAnsi="宋体"/>
          <w:sz w:val="28"/>
          <w:szCs w:val="28"/>
        </w:rPr>
      </w:pPr>
      <w:r>
        <w:rPr>
          <w:rFonts w:hint="eastAsia" w:ascii="宋体" w:hAnsi="宋体"/>
          <w:sz w:val="28"/>
          <w:szCs w:val="28"/>
        </w:rPr>
        <w:t>（五）负责全县新建、扩建、除险加固水利水电工程征地补偿移民安置工作。</w:t>
      </w:r>
    </w:p>
    <w:p>
      <w:pPr>
        <w:spacing w:line="360" w:lineRule="auto"/>
        <w:ind w:left="420" w:leftChars="200" w:firstLine="140" w:firstLineChars="50"/>
        <w:rPr>
          <w:rFonts w:ascii="宋体"/>
          <w:sz w:val="28"/>
          <w:szCs w:val="28"/>
        </w:rPr>
      </w:pPr>
      <w:r>
        <w:rPr>
          <w:rFonts w:hint="eastAsia" w:ascii="宋体" w:hAnsi="宋体"/>
          <w:sz w:val="28"/>
          <w:szCs w:val="28"/>
        </w:rPr>
        <w:t>（六）负责组织全县水利水电工程移民政策、法律、法规的宣传，协调全县水利水电工程移民后期扶持管理和有关遗留问题的处理及信访维稳工作。</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（七）承办县委、县政府和上级交办的其他事项。</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（二）机构设置</w:t>
      </w:r>
    </w:p>
    <w:p>
      <w:pPr>
        <w:spacing w:line="360" w:lineRule="auto"/>
        <w:ind w:firstLine="560" w:firstLineChars="200"/>
        <w:rPr>
          <w:rFonts w:hint="eastAsia" w:ascii="宋体" w:hAnsi="宋体"/>
          <w:sz w:val="28"/>
          <w:szCs w:val="28"/>
        </w:rPr>
      </w:pPr>
      <w:r>
        <w:rPr>
          <w:rFonts w:hint="eastAsia" w:ascii="宋体" w:hAnsi="宋体"/>
          <w:sz w:val="28"/>
          <w:szCs w:val="28"/>
        </w:rPr>
        <w:t>大埔县移民工作局是正科级、公益一类事业单位，内设人秘股、工程技术股、安置和后续扶持股、财务股等4个股室。</w:t>
      </w:r>
    </w:p>
    <w:p>
      <w:pPr>
        <w:spacing w:line="360" w:lineRule="auto"/>
        <w:ind w:firstLine="560" w:firstLineChars="200"/>
        <w:rPr>
          <w:rFonts w:ascii="宋体"/>
          <w:sz w:val="28"/>
          <w:szCs w:val="28"/>
        </w:rPr>
      </w:pPr>
      <w:r>
        <w:rPr>
          <w:rFonts w:ascii="宋体" w:hAnsi="宋体"/>
          <w:sz w:val="28"/>
          <w:szCs w:val="28"/>
        </w:rPr>
        <w:t>2015</w:t>
      </w:r>
      <w:r>
        <w:rPr>
          <w:rFonts w:hint="eastAsia" w:ascii="宋体" w:hAnsi="宋体"/>
          <w:sz w:val="28"/>
          <w:szCs w:val="28"/>
        </w:rPr>
        <w:t>年局事业编制33人。</w:t>
      </w:r>
    </w:p>
    <w:p>
      <w:pPr>
        <w:spacing w:line="360" w:lineRule="auto"/>
        <w:ind w:firstLine="560" w:firstLineChars="200"/>
        <w:rPr>
          <w:rFonts w:ascii="宋体"/>
          <w:sz w:val="28"/>
          <w:szCs w:val="28"/>
        </w:rPr>
      </w:pPr>
      <w:r>
        <w:rPr>
          <w:rFonts w:ascii="宋体" w:hAnsi="宋体"/>
          <w:sz w:val="28"/>
          <w:szCs w:val="28"/>
        </w:rPr>
        <w:t>2015</w:t>
      </w:r>
      <w:r>
        <w:rPr>
          <w:rFonts w:hint="eastAsia" w:ascii="宋体" w:hAnsi="宋体"/>
          <w:sz w:val="28"/>
          <w:szCs w:val="28"/>
        </w:rPr>
        <w:t>年年末局机关实有人数30人。</w:t>
      </w:r>
    </w:p>
    <w:p>
      <w:pPr>
        <w:spacing w:line="288" w:lineRule="auto"/>
        <w:ind w:firstLine="640" w:firstLineChars="200"/>
        <w:rPr>
          <w:rFonts w:ascii="仿宋_GB2312" w:eastAsia="仿宋_GB2312"/>
          <w:sz w:val="32"/>
          <w:szCs w:val="32"/>
        </w:rPr>
      </w:pPr>
    </w:p>
    <w:p>
      <w:pPr>
        <w:spacing w:line="288" w:lineRule="auto"/>
        <w:ind w:firstLine="723" w:firstLineChars="200"/>
        <w:outlineLvl w:val="0"/>
        <w:rPr>
          <w:rFonts w:hint="eastAsia" w:ascii="宋体" w:hAnsi="宋体"/>
          <w:b/>
          <w:sz w:val="36"/>
          <w:szCs w:val="36"/>
        </w:rPr>
      </w:pPr>
    </w:p>
    <w:p>
      <w:pPr>
        <w:spacing w:line="288" w:lineRule="auto"/>
        <w:ind w:firstLine="723" w:firstLineChars="200"/>
        <w:outlineLvl w:val="0"/>
        <w:rPr>
          <w:rFonts w:hint="eastAsia" w:ascii="宋体" w:hAnsi="宋体"/>
          <w:b/>
          <w:sz w:val="36"/>
          <w:szCs w:val="36"/>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第二部分  </w:t>
      </w:r>
      <w:r>
        <w:rPr>
          <w:rFonts w:hint="eastAsia" w:ascii="宋体" w:hAnsi="宋体"/>
          <w:b/>
          <w:sz w:val="36"/>
          <w:szCs w:val="36"/>
          <w:lang w:eastAsia="zh-CN"/>
        </w:rPr>
        <w:t>大埔县移民工作局</w:t>
      </w:r>
      <w:r>
        <w:rPr>
          <w:rFonts w:hint="eastAsia" w:ascii="宋体" w:hAnsi="宋体"/>
          <w:b/>
          <w:sz w:val="36"/>
          <w:szCs w:val="36"/>
          <w:lang w:val="en-US" w:eastAsia="zh-CN"/>
        </w:rPr>
        <w:t>2015</w:t>
      </w:r>
      <w:r>
        <w:rPr>
          <w:rFonts w:hint="eastAsia" w:ascii="宋体" w:hAnsi="宋体"/>
          <w:b/>
          <w:sz w:val="36"/>
          <w:szCs w:val="36"/>
        </w:rPr>
        <w:t>年部门决算表</w:t>
      </w:r>
    </w:p>
    <w:tbl>
      <w:tblPr>
        <w:tblStyle w:val="7"/>
        <w:tblW w:w="9088" w:type="dxa"/>
        <w:tblInd w:w="93" w:type="dxa"/>
        <w:tblLayout w:type="fixed"/>
        <w:tblCellMar>
          <w:top w:w="0" w:type="dxa"/>
          <w:left w:w="108" w:type="dxa"/>
          <w:bottom w:w="0" w:type="dxa"/>
          <w:right w:w="108" w:type="dxa"/>
        </w:tblCellMar>
      </w:tblPr>
      <w:tblGrid>
        <w:gridCol w:w="2567"/>
        <w:gridCol w:w="769"/>
        <w:gridCol w:w="1074"/>
        <w:gridCol w:w="2693"/>
        <w:gridCol w:w="769"/>
        <w:gridCol w:w="1216"/>
      </w:tblGrid>
      <w:tr>
        <w:tblPrEx>
          <w:tblLayout w:type="fixed"/>
          <w:tblCellMar>
            <w:top w:w="0" w:type="dxa"/>
            <w:left w:w="108" w:type="dxa"/>
            <w:bottom w:w="0" w:type="dxa"/>
            <w:right w:w="108" w:type="dxa"/>
          </w:tblCellMar>
        </w:tblPrEx>
        <w:trPr>
          <w:trHeight w:val="360" w:hRule="atLeast"/>
        </w:trPr>
        <w:tc>
          <w:tcPr>
            <w:tcW w:w="9088" w:type="dxa"/>
            <w:gridSpan w:val="6"/>
            <w:vAlign w:val="center"/>
          </w:tcPr>
          <w:p>
            <w:pPr>
              <w:spacing w:line="580" w:lineRule="exact"/>
              <w:ind w:firstLine="640" w:firstLineChars="200"/>
              <w:rPr>
                <w:rFonts w:ascii="仿宋_GB2312" w:eastAsia="仿宋_GB2312"/>
                <w:sz w:val="32"/>
                <w:szCs w:val="32"/>
              </w:rPr>
            </w:pPr>
            <w:r>
              <w:rPr>
                <w:rFonts w:hint="eastAsia" w:ascii="仿宋_GB2312" w:eastAsia="仿宋_GB2312"/>
                <w:sz w:val="32"/>
                <w:szCs w:val="32"/>
              </w:rPr>
              <w:t>各部门应当公开8张部门决算表格，包括：1.收支总表（3张），即：《收入支出决算总表》、《收入决算表》、《支出决算表》；2.财政拨款收支表（5张），即：《财政拨款收入支出决算总表》、《一般公共预算财政拨款支出决算表》、《一般公共预算财政拨款基本支出决算表》、《财政拨款“三公”经费支出决算表》和《政府性基金预算财政拨款收入支出决算表》。除涉密信息外，《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r>
              <w:rPr>
                <w:rFonts w:hint="eastAsia" w:ascii="仿宋_GB2312" w:eastAsia="仿宋_GB2312"/>
                <w:b/>
                <w:sz w:val="32"/>
                <w:szCs w:val="32"/>
              </w:rPr>
              <w:t>没有数据的表格也要公开，并在合计栏以零填列。格式如下：</w:t>
            </w:r>
          </w:p>
          <w:p>
            <w:pPr>
              <w:widowControl/>
              <w:rPr>
                <w:rFonts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Layout w:type="fixed"/>
          <w:tblCellMar>
            <w:top w:w="0" w:type="dxa"/>
            <w:left w:w="108" w:type="dxa"/>
            <w:bottom w:w="0" w:type="dxa"/>
            <w:right w:w="108" w:type="dxa"/>
          </w:tblCellMar>
        </w:tblPrEx>
        <w:trPr>
          <w:trHeight w:val="199" w:hRule="atLeast"/>
        </w:trPr>
        <w:tc>
          <w:tcPr>
            <w:tcW w:w="256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074"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2693"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16"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Layout w:type="fixed"/>
          <w:tblCellMar>
            <w:top w:w="0" w:type="dxa"/>
            <w:left w:w="108" w:type="dxa"/>
            <w:bottom w:w="0" w:type="dxa"/>
            <w:right w:w="108" w:type="dxa"/>
          </w:tblCellMar>
        </w:tblPrEx>
        <w:trPr>
          <w:trHeight w:val="300" w:hRule="atLeast"/>
        </w:trPr>
        <w:tc>
          <w:tcPr>
            <w:tcW w:w="2567" w:type="dxa"/>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074"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2693"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6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216"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39" w:hRule="atLeast"/>
        </w:trPr>
        <w:tc>
          <w:tcPr>
            <w:tcW w:w="4410" w:type="dxa"/>
            <w:gridSpan w:val="3"/>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收入</w:t>
            </w:r>
          </w:p>
        </w:tc>
        <w:tc>
          <w:tcPr>
            <w:tcW w:w="4678" w:type="dxa"/>
            <w:gridSpan w:val="3"/>
            <w:tcBorders>
              <w:top w:val="single" w:color="auto" w:sz="8" w:space="0"/>
              <w:left w:val="nil"/>
              <w:bottom w:val="single" w:color="auto" w:sz="4" w:space="0"/>
              <w:right w:val="single" w:color="000000"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决算数</w:t>
            </w:r>
          </w:p>
        </w:tc>
        <w:tc>
          <w:tcPr>
            <w:tcW w:w="2693" w:type="dxa"/>
            <w:tcBorders>
              <w:top w:val="nil"/>
              <w:left w:val="nil"/>
              <w:bottom w:val="single" w:color="auto" w:sz="4" w:space="0"/>
              <w:right w:val="single" w:color="auto" w:sz="4" w:space="0"/>
            </w:tcBorders>
            <w:shd w:val="clear" w:color="auto" w:fill="FFFFFF"/>
            <w:vAlign w:val="center"/>
          </w:tcPr>
          <w:p>
            <w:pPr>
              <w:widowControl/>
              <w:ind w:right="315" w:rightChars="150"/>
              <w:jc w:val="center"/>
              <w:rPr>
                <w:rFonts w:ascii="宋体" w:hAnsi="宋体" w:cs="宋体"/>
                <w:kern w:val="0"/>
                <w:sz w:val="24"/>
              </w:rPr>
            </w:pPr>
            <w:r>
              <w:rPr>
                <w:rFonts w:hint="eastAsia" w:ascii="宋体" w:hAnsi="宋体" w:cs="宋体"/>
                <w:kern w:val="0"/>
                <w:sz w:val="24"/>
              </w:rPr>
              <w:t>项    目</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16"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决算数</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074"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269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216"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一、财政拨款收入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kern w:val="0"/>
                <w:sz w:val="24"/>
                <w:szCs w:val="24"/>
              </w:rPr>
              <w:t>95.4</w:t>
            </w:r>
            <w:r>
              <w:rPr>
                <w:rFonts w:hint="eastAsia" w:ascii="宋体" w:hAnsi="宋体"/>
                <w:kern w:val="0"/>
                <w:sz w:val="24"/>
                <w:szCs w:val="24"/>
                <w:lang w:val="en-US" w:eastAsia="zh-CN"/>
              </w:rPr>
              <w:t>2</w:t>
            </w: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二、上级补助收入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三、事业收入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三、国防支出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四、经营收入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五、附属单位上缴收入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六、其他收入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1"/>
                <w:szCs w:val="21"/>
              </w:rPr>
            </w:pPr>
            <w:r>
              <w:rPr>
                <w:rFonts w:hint="eastAsia" w:ascii="宋体" w:hAnsi="宋体" w:cs="宋体"/>
                <w:kern w:val="0"/>
                <w:sz w:val="21"/>
                <w:szCs w:val="21"/>
              </w:rPr>
              <w:t>六、科学技术支出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19</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4"/>
              </w:rPr>
              <w:t>……</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九、医疗卫生与计划生育支出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216" w:type="dxa"/>
            <w:tcBorders>
              <w:top w:val="nil"/>
              <w:left w:val="nil"/>
              <w:bottom w:val="single" w:color="auto" w:sz="4" w:space="0"/>
              <w:right w:val="single" w:color="auto" w:sz="8" w:space="0"/>
            </w:tcBorders>
            <w:vAlign w:val="center"/>
          </w:tcPr>
          <w:p>
            <w:pPr>
              <w:widowControl/>
              <w:jc w:val="right"/>
              <w:rPr>
                <w:rFonts w:ascii="宋体" w:hAnsi="宋体" w:cs="宋体"/>
                <w:kern w:val="0"/>
                <w:sz w:val="21"/>
                <w:szCs w:val="21"/>
              </w:rPr>
            </w:pPr>
            <w:r>
              <w:rPr>
                <w:rFonts w:hint="eastAsia" w:ascii="宋体" w:hAnsi="宋体"/>
                <w:kern w:val="0"/>
                <w:sz w:val="21"/>
                <w:szCs w:val="21"/>
              </w:rPr>
              <w:t>2.6</w:t>
            </w:r>
            <w:r>
              <w:rPr>
                <w:rFonts w:hint="eastAsia" w:ascii="宋体" w:hAnsi="宋体"/>
                <w:kern w:val="0"/>
                <w:sz w:val="21"/>
                <w:szCs w:val="21"/>
                <w:lang w:val="en-US" w:eastAsia="zh-CN"/>
              </w:rPr>
              <w:t>1</w:t>
            </w: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十二、农林水支出</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21</w:t>
            </w:r>
          </w:p>
        </w:tc>
        <w:tc>
          <w:tcPr>
            <w:tcW w:w="1216" w:type="dxa"/>
            <w:tcBorders>
              <w:top w:val="nil"/>
              <w:left w:val="nil"/>
              <w:bottom w:val="single" w:color="auto" w:sz="4" w:space="0"/>
              <w:right w:val="single" w:color="auto" w:sz="8" w:space="0"/>
            </w:tcBorders>
            <w:vAlign w:val="center"/>
          </w:tcPr>
          <w:tbl>
            <w:tblPr>
              <w:tblStyle w:val="7"/>
              <w:tblpPr w:leftFromText="180" w:rightFromText="180" w:vertAnchor="text" w:horzAnchor="margin" w:tblpXSpec="center" w:tblpY="218"/>
              <w:tblW w:w="1846" w:type="dxa"/>
              <w:tblInd w:w="0" w:type="dxa"/>
              <w:tblLayout w:type="fixed"/>
              <w:tblCellMar>
                <w:top w:w="0" w:type="dxa"/>
                <w:left w:w="108" w:type="dxa"/>
                <w:bottom w:w="0" w:type="dxa"/>
                <w:right w:w="108" w:type="dxa"/>
              </w:tblCellMar>
            </w:tblPr>
            <w:tblGrid>
              <w:gridCol w:w="1846"/>
            </w:tblGrid>
            <w:tr>
              <w:tblPrEx>
                <w:tblLayout w:type="fixed"/>
                <w:tblCellMar>
                  <w:top w:w="0" w:type="dxa"/>
                  <w:left w:w="108" w:type="dxa"/>
                  <w:bottom w:w="0" w:type="dxa"/>
                  <w:right w:w="108" w:type="dxa"/>
                </w:tblCellMar>
              </w:tblPrEx>
              <w:trPr>
                <w:trHeight w:val="346" w:hRule="atLeast"/>
              </w:trPr>
              <w:tc>
                <w:tcPr>
                  <w:tcW w:w="1846" w:type="dxa"/>
                  <w:tcBorders>
                    <w:top w:val="nil"/>
                    <w:left w:val="nil"/>
                    <w:bottom w:val="single" w:color="auto" w:sz="4" w:space="0"/>
                    <w:right w:val="single" w:color="auto" w:sz="8" w:space="0"/>
                  </w:tcBorders>
                  <w:vAlign w:val="center"/>
                </w:tcPr>
                <w:p>
                  <w:pPr>
                    <w:widowControl/>
                    <w:jc w:val="center"/>
                    <w:rPr>
                      <w:rFonts w:hint="eastAsia" w:ascii="宋体"/>
                      <w:kern w:val="0"/>
                      <w:sz w:val="21"/>
                      <w:szCs w:val="21"/>
                    </w:rPr>
                  </w:pPr>
                  <w:r>
                    <w:rPr>
                      <w:rFonts w:hint="eastAsia" w:ascii="宋体" w:hAnsi="宋体"/>
                      <w:kern w:val="0"/>
                      <w:sz w:val="21"/>
                      <w:szCs w:val="21"/>
                    </w:rPr>
                    <w:t>92.8</w:t>
                  </w:r>
                  <w:r>
                    <w:rPr>
                      <w:rFonts w:hint="eastAsia" w:ascii="宋体" w:hAnsi="宋体"/>
                      <w:kern w:val="0"/>
                      <w:sz w:val="21"/>
                      <w:szCs w:val="21"/>
                      <w:lang w:val="en-US" w:eastAsia="zh-CN"/>
                    </w:rPr>
                    <w:t>1</w:t>
                  </w:r>
                </w:p>
              </w:tc>
            </w:tr>
          </w:tbl>
          <w:p>
            <w:pPr>
              <w:widowControl/>
              <w:jc w:val="center"/>
              <w:rPr>
                <w:rFonts w:ascii="宋体" w:hAnsi="宋体" w:cs="宋体"/>
                <w:kern w:val="0"/>
                <w:sz w:val="21"/>
                <w:szCs w:val="21"/>
              </w:rPr>
            </w:pPr>
            <w:r>
              <w:rPr>
                <w:rFonts w:hint="eastAsia" w:ascii="宋体" w:hAnsi="宋体" w:cs="宋体"/>
                <w:kern w:val="0"/>
                <w:sz w:val="21"/>
                <w:szCs w:val="21"/>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本年收入合计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kern w:val="0"/>
                <w:sz w:val="24"/>
                <w:szCs w:val="24"/>
              </w:rPr>
              <w:t>95.4</w:t>
            </w:r>
            <w:r>
              <w:rPr>
                <w:rFonts w:hint="eastAsia" w:ascii="宋体" w:hAnsi="宋体"/>
                <w:kern w:val="0"/>
                <w:sz w:val="24"/>
                <w:szCs w:val="24"/>
                <w:lang w:val="en-US" w:eastAsia="zh-CN"/>
              </w:rPr>
              <w:t>2</w:t>
            </w: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本年支出合计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1216" w:type="dxa"/>
            <w:tcBorders>
              <w:top w:val="nil"/>
              <w:left w:val="nil"/>
              <w:bottom w:val="single" w:color="auto" w:sz="4" w:space="0"/>
              <w:right w:val="single" w:color="auto" w:sz="8" w:space="0"/>
            </w:tcBorders>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r>
              <w:rPr>
                <w:rFonts w:hint="eastAsia" w:ascii="宋体" w:hAnsi="宋体" w:cs="宋体"/>
                <w:b/>
                <w:bCs/>
                <w:kern w:val="0"/>
                <w:sz w:val="22"/>
                <w:szCs w:val="22"/>
                <w:lang w:val="en-US" w:eastAsia="zh-CN"/>
              </w:rPr>
              <w:t>95.42</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用事业基金弥补收支差额</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结余分配</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1216" w:type="dxa"/>
            <w:tcBorders>
              <w:top w:val="nil"/>
              <w:left w:val="nil"/>
              <w:bottom w:val="single" w:color="auto" w:sz="4" w:space="0"/>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年初结转和结余</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07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年末结转和结余</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1216" w:type="dxa"/>
            <w:tcBorders>
              <w:top w:val="nil"/>
              <w:left w:val="nil"/>
              <w:bottom w:val="single" w:color="auto" w:sz="4" w:space="0"/>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nil"/>
              <w:left w:val="single" w:color="auto" w:sz="8" w:space="0"/>
              <w:bottom w:val="nil"/>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074"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693" w:type="dxa"/>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1216" w:type="dxa"/>
            <w:tcBorders>
              <w:top w:val="nil"/>
              <w:left w:val="nil"/>
              <w:bottom w:val="nil"/>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39" w:hRule="atLeast"/>
        </w:trPr>
        <w:tc>
          <w:tcPr>
            <w:tcW w:w="2567" w:type="dxa"/>
            <w:tcBorders>
              <w:top w:val="single" w:color="auto" w:sz="4" w:space="0"/>
              <w:left w:val="single" w:color="auto" w:sz="8" w:space="0"/>
              <w:bottom w:val="single" w:color="auto" w:sz="8"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074"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95.42</w:t>
            </w:r>
            <w:r>
              <w:rPr>
                <w:rFonts w:hint="eastAsia" w:ascii="宋体" w:hAnsi="宋体" w:cs="宋体"/>
                <w:kern w:val="0"/>
                <w:sz w:val="22"/>
                <w:szCs w:val="22"/>
              </w:rPr>
              <w:t>　</w:t>
            </w:r>
          </w:p>
        </w:tc>
        <w:tc>
          <w:tcPr>
            <w:tcW w:w="2693" w:type="dxa"/>
            <w:tcBorders>
              <w:top w:val="single" w:color="auto" w:sz="4" w:space="0"/>
              <w:left w:val="nil"/>
              <w:bottom w:val="single" w:color="auto" w:sz="8"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216" w:type="dxa"/>
            <w:tcBorders>
              <w:top w:val="single" w:color="auto" w:sz="4" w:space="0"/>
              <w:left w:val="nil"/>
              <w:bottom w:val="single" w:color="auto" w:sz="8" w:space="0"/>
              <w:right w:val="single" w:color="auto" w:sz="8" w:space="0"/>
            </w:tcBorders>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r>
              <w:rPr>
                <w:rFonts w:hint="eastAsia" w:ascii="宋体" w:hAnsi="宋体" w:cs="宋体"/>
                <w:b/>
                <w:bCs/>
                <w:kern w:val="0"/>
                <w:sz w:val="22"/>
                <w:szCs w:val="22"/>
                <w:lang w:val="en-US" w:eastAsia="zh-CN"/>
              </w:rPr>
              <w:t>95.42</w:t>
            </w:r>
          </w:p>
        </w:tc>
      </w:tr>
    </w:tbl>
    <w:p>
      <w:pPr>
        <w:spacing w:line="288" w:lineRule="auto"/>
        <w:ind w:firstLine="560"/>
        <w:rPr>
          <w:rFonts w:ascii="仿宋_GB2312" w:eastAsia="仿宋_GB2312"/>
          <w:sz w:val="28"/>
          <w:szCs w:val="28"/>
        </w:rPr>
      </w:pPr>
      <w:r>
        <w:rPr>
          <w:rFonts w:hint="eastAsia" w:ascii="仿宋_GB2312" w:eastAsia="仿宋_GB2312"/>
          <w:sz w:val="28"/>
          <w:szCs w:val="28"/>
        </w:rPr>
        <w:t>注：本表反映部门本年度的总收支和年末结转情况。有关填表说明：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（1）本表中数据填列当年决算数，以“万元”为金额单位，保留两位小数。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本表支出项目填列到类级支出科目，没有发生数的类级支出科目不用填列。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（3）收入总计数应等于支出总计数。</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（4）此表没有发生数据的，在合计和总计栏填“0”，并在该表下方附简要说明。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（5）该表数据来源于部门决算报表中的《收入支出决算总表》(财决01表)。</w:t>
      </w:r>
    </w:p>
    <w:p>
      <w:pPr>
        <w:spacing w:line="288" w:lineRule="auto"/>
        <w:ind w:firstLine="560"/>
        <w:rPr>
          <w:rFonts w:ascii="仿宋_GB2312" w:eastAsia="仿宋_GB2312"/>
          <w:sz w:val="28"/>
          <w:szCs w:val="28"/>
        </w:rPr>
      </w:pPr>
    </w:p>
    <w:tbl>
      <w:tblPr>
        <w:tblStyle w:val="7"/>
        <w:tblW w:w="9210" w:type="dxa"/>
        <w:tblInd w:w="93" w:type="dxa"/>
        <w:tblLayout w:type="fixed"/>
        <w:tblCellMar>
          <w:top w:w="0" w:type="dxa"/>
          <w:left w:w="108" w:type="dxa"/>
          <w:bottom w:w="0" w:type="dxa"/>
          <w:right w:w="108" w:type="dxa"/>
        </w:tblCellMar>
      </w:tblPr>
      <w:tblGrid>
        <w:gridCol w:w="459"/>
        <w:gridCol w:w="597"/>
        <w:gridCol w:w="1511"/>
        <w:gridCol w:w="1040"/>
        <w:gridCol w:w="945"/>
        <w:gridCol w:w="939"/>
        <w:gridCol w:w="797"/>
        <w:gridCol w:w="796"/>
        <w:gridCol w:w="992"/>
        <w:gridCol w:w="1134"/>
      </w:tblGrid>
      <w:tr>
        <w:tblPrEx>
          <w:tblLayout w:type="fixed"/>
          <w:tblCellMar>
            <w:top w:w="0" w:type="dxa"/>
            <w:left w:w="108" w:type="dxa"/>
            <w:bottom w:w="0" w:type="dxa"/>
            <w:right w:w="108" w:type="dxa"/>
          </w:tblCellMar>
        </w:tblPrEx>
        <w:trPr>
          <w:trHeight w:val="435" w:hRule="atLeast"/>
        </w:trPr>
        <w:tc>
          <w:tcPr>
            <w:tcW w:w="9210" w:type="dxa"/>
            <w:gridSpan w:val="10"/>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收入决算表</w:t>
            </w:r>
          </w:p>
        </w:tc>
      </w:tr>
      <w:tr>
        <w:tblPrEx>
          <w:tblLayout w:type="fixed"/>
          <w:tblCellMar>
            <w:top w:w="0" w:type="dxa"/>
            <w:left w:w="108" w:type="dxa"/>
            <w:bottom w:w="0" w:type="dxa"/>
            <w:right w:w="108" w:type="dxa"/>
          </w:tblCellMar>
        </w:tblPrEx>
        <w:trPr>
          <w:trHeight w:val="285" w:hRule="atLeast"/>
        </w:trPr>
        <w:tc>
          <w:tcPr>
            <w:tcW w:w="45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59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511"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040"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45"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39"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9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96"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公开02表</w:t>
            </w:r>
          </w:p>
        </w:tc>
      </w:tr>
      <w:tr>
        <w:tblPrEx>
          <w:tblLayout w:type="fixed"/>
          <w:tblCellMar>
            <w:top w:w="0" w:type="dxa"/>
            <w:left w:w="108" w:type="dxa"/>
            <w:bottom w:w="0" w:type="dxa"/>
            <w:right w:w="108" w:type="dxa"/>
          </w:tblCellMar>
        </w:tblPrEx>
        <w:trPr>
          <w:trHeight w:val="300" w:hRule="atLeast"/>
        </w:trPr>
        <w:tc>
          <w:tcPr>
            <w:tcW w:w="1056"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511"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040"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45"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39" w:type="dxa"/>
            <w:shd w:val="clear" w:color="auto"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97"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796"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shd w:val="clear" w:color="auto" w:fill="FFFFFF"/>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50" w:hRule="atLeast"/>
        </w:trPr>
        <w:tc>
          <w:tcPr>
            <w:tcW w:w="2567" w:type="dxa"/>
            <w:gridSpan w:val="3"/>
            <w:tcBorders>
              <w:top w:val="single" w:color="auto" w:sz="8"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1040"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94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939"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797"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796"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99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134"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trPr>
        <w:tc>
          <w:tcPr>
            <w:tcW w:w="1056" w:type="dxa"/>
            <w:gridSpan w:val="2"/>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511"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0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4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3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cs="宋体"/>
                <w:kern w:val="0"/>
                <w:sz w:val="24"/>
              </w:rPr>
            </w:pPr>
          </w:p>
        </w:tc>
        <w:tc>
          <w:tcPr>
            <w:tcW w:w="15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4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4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3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9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567" w:type="dxa"/>
            <w:gridSpan w:val="3"/>
            <w:tcBorders>
              <w:top w:val="single" w:color="auto" w:sz="4" w:space="0"/>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栏次</w:t>
            </w:r>
          </w:p>
        </w:tc>
        <w:tc>
          <w:tcPr>
            <w:tcW w:w="10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94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93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79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79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6</w:t>
            </w:r>
          </w:p>
        </w:tc>
        <w:tc>
          <w:tcPr>
            <w:tcW w:w="1134"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7</w:t>
            </w:r>
          </w:p>
        </w:tc>
      </w:tr>
      <w:tr>
        <w:tblPrEx>
          <w:tblLayout w:type="fixed"/>
          <w:tblCellMar>
            <w:top w:w="0" w:type="dxa"/>
            <w:left w:w="108" w:type="dxa"/>
            <w:bottom w:w="0" w:type="dxa"/>
            <w:right w:w="108" w:type="dxa"/>
          </w:tblCellMar>
        </w:tblPrEx>
        <w:trPr>
          <w:trHeight w:val="450" w:hRule="atLeast"/>
        </w:trPr>
        <w:tc>
          <w:tcPr>
            <w:tcW w:w="2567" w:type="dxa"/>
            <w:gridSpan w:val="3"/>
            <w:tcBorders>
              <w:top w:val="nil"/>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1040"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95.42</w:t>
            </w:r>
          </w:p>
        </w:tc>
        <w:tc>
          <w:tcPr>
            <w:tcW w:w="945"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95.42</w:t>
            </w:r>
          </w:p>
        </w:tc>
        <w:tc>
          <w:tcPr>
            <w:tcW w:w="939"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797"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796"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992" w:type="dxa"/>
            <w:tcBorders>
              <w:top w:val="nil"/>
              <w:left w:val="nil"/>
              <w:bottom w:val="single" w:color="auto" w:sz="4" w:space="0"/>
              <w:right w:val="single" w:color="auto" w:sz="4"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1134" w:type="dxa"/>
            <w:tcBorders>
              <w:top w:val="nil"/>
              <w:left w:val="nil"/>
              <w:bottom w:val="single" w:color="auto" w:sz="4" w:space="0"/>
              <w:right w:val="single" w:color="auto" w:sz="8" w:space="0"/>
            </w:tcBorders>
            <w:vAlign w:val="center"/>
          </w:tcPr>
          <w:p>
            <w:pPr>
              <w:widowControl/>
              <w:jc w:val="left"/>
              <w:rPr>
                <w:rFonts w:hint="eastAsia" w:eastAsia="宋体"/>
                <w:kern w:val="0"/>
                <w:sz w:val="20"/>
                <w:szCs w:val="20"/>
                <w:lang w:val="en-US" w:eastAsia="zh-CN"/>
              </w:rPr>
            </w:pPr>
            <w:r>
              <w:rPr>
                <w:rFonts w:hint="eastAsia"/>
                <w:kern w:val="0"/>
                <w:sz w:val="20"/>
                <w:szCs w:val="20"/>
                <w:lang w:val="en-US" w:eastAsia="zh-CN"/>
              </w:rPr>
              <w:t>0</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一般公共服务支出</w:t>
            </w:r>
          </w:p>
        </w:tc>
        <w:tc>
          <w:tcPr>
            <w:tcW w:w="1040"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45"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3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20101</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人大事务</w:t>
            </w:r>
          </w:p>
        </w:tc>
        <w:tc>
          <w:tcPr>
            <w:tcW w:w="1040"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45"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3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2010101</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行政运行</w:t>
            </w:r>
          </w:p>
        </w:tc>
        <w:tc>
          <w:tcPr>
            <w:tcW w:w="1040"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45"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3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2010102</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一般行政管理事务</w:t>
            </w:r>
          </w:p>
        </w:tc>
        <w:tc>
          <w:tcPr>
            <w:tcW w:w="1040"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45"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3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2010199</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其他人大事务支出</w:t>
            </w:r>
          </w:p>
        </w:tc>
        <w:tc>
          <w:tcPr>
            <w:tcW w:w="1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1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b/>
                <w:bCs/>
                <w:kern w:val="0"/>
              </w:rPr>
              <w:t>210</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b/>
                <w:bCs/>
                <w:kern w:val="0"/>
              </w:rPr>
              <w:t>医疗卫生与计划生育支出</w:t>
            </w:r>
          </w:p>
        </w:tc>
        <w:tc>
          <w:tcPr>
            <w:tcW w:w="1040" w:type="dxa"/>
            <w:tcBorders>
              <w:top w:val="nil"/>
              <w:left w:val="nil"/>
              <w:bottom w:val="single" w:color="auto" w:sz="4" w:space="0"/>
              <w:right w:val="single" w:color="auto" w:sz="4" w:space="0"/>
            </w:tcBorders>
            <w:vAlign w:val="center"/>
          </w:tcPr>
          <w:p>
            <w:pPr>
              <w:widowControl/>
              <w:jc w:val="right"/>
              <w:rPr>
                <w:kern w:val="0"/>
                <w:sz w:val="20"/>
                <w:szCs w:val="20"/>
              </w:rPr>
            </w:pPr>
            <w:r>
              <w:rPr>
                <w:rFonts w:hint="eastAsia" w:ascii="宋体" w:hAnsi="宋体"/>
                <w:b/>
                <w:bCs/>
                <w:kern w:val="0"/>
              </w:rPr>
              <w:t>2.61</w:t>
            </w:r>
          </w:p>
        </w:tc>
        <w:tc>
          <w:tcPr>
            <w:tcW w:w="945" w:type="dxa"/>
            <w:tcBorders>
              <w:top w:val="nil"/>
              <w:left w:val="nil"/>
              <w:bottom w:val="single" w:color="auto" w:sz="4" w:space="0"/>
              <w:right w:val="single" w:color="auto" w:sz="4" w:space="0"/>
            </w:tcBorders>
            <w:vAlign w:val="center"/>
          </w:tcPr>
          <w:p>
            <w:pPr>
              <w:widowControl/>
              <w:jc w:val="right"/>
              <w:rPr>
                <w:kern w:val="0"/>
                <w:sz w:val="20"/>
                <w:szCs w:val="20"/>
              </w:rPr>
            </w:pPr>
            <w:r>
              <w:rPr>
                <w:rFonts w:hint="eastAsia" w:ascii="宋体" w:hAnsi="宋体"/>
                <w:b/>
                <w:bCs/>
                <w:kern w:val="0"/>
              </w:rPr>
              <w:t>2.61</w:t>
            </w:r>
          </w:p>
        </w:tc>
        <w:tc>
          <w:tcPr>
            <w:tcW w:w="939"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4" w:space="0"/>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b/>
                <w:bCs/>
                <w:kern w:val="0"/>
              </w:rPr>
              <w:t>21005</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b/>
                <w:bCs/>
                <w:kern w:val="0"/>
              </w:rPr>
              <w:t>医疗保险</w:t>
            </w:r>
          </w:p>
        </w:tc>
        <w:tc>
          <w:tcPr>
            <w:tcW w:w="1040" w:type="dxa"/>
            <w:tcBorders>
              <w:top w:val="nil"/>
              <w:left w:val="nil"/>
              <w:bottom w:val="single" w:color="auto" w:sz="8" w:space="0"/>
              <w:right w:val="single" w:color="auto" w:sz="4" w:space="0"/>
            </w:tcBorders>
            <w:vAlign w:val="center"/>
          </w:tcPr>
          <w:p>
            <w:pPr>
              <w:widowControl/>
              <w:jc w:val="right"/>
              <w:rPr>
                <w:rFonts w:ascii="仿宋_GB2312" w:hAnsi="宋体" w:eastAsia="仿宋_GB2312" w:cs="宋体"/>
                <w:kern w:val="0"/>
                <w:sz w:val="24"/>
              </w:rPr>
            </w:pPr>
            <w:r>
              <w:rPr>
                <w:rFonts w:hint="eastAsia" w:ascii="宋体" w:hAnsi="宋体"/>
                <w:b/>
                <w:bCs/>
                <w:kern w:val="0"/>
              </w:rPr>
              <w:t>2.61</w:t>
            </w:r>
          </w:p>
        </w:tc>
        <w:tc>
          <w:tcPr>
            <w:tcW w:w="945" w:type="dxa"/>
            <w:tcBorders>
              <w:top w:val="nil"/>
              <w:left w:val="nil"/>
              <w:bottom w:val="single" w:color="auto" w:sz="8" w:space="0"/>
              <w:right w:val="single" w:color="auto" w:sz="4" w:space="0"/>
            </w:tcBorders>
            <w:vAlign w:val="center"/>
          </w:tcPr>
          <w:p>
            <w:pPr>
              <w:widowControl/>
              <w:jc w:val="right"/>
              <w:rPr>
                <w:rFonts w:ascii="仿宋_GB2312" w:hAnsi="宋体" w:eastAsia="仿宋_GB2312" w:cs="宋体"/>
                <w:kern w:val="0"/>
                <w:sz w:val="24"/>
              </w:rPr>
            </w:pPr>
            <w:r>
              <w:rPr>
                <w:rFonts w:hint="eastAsia" w:ascii="宋体" w:hAnsi="宋体"/>
                <w:b/>
                <w:bCs/>
                <w:kern w:val="0"/>
              </w:rPr>
              <w:t>2.61</w:t>
            </w:r>
          </w:p>
        </w:tc>
        <w:tc>
          <w:tcPr>
            <w:tcW w:w="939"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kern w:val="0"/>
              </w:rPr>
              <w:t>2100502</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hAnsi="宋体"/>
                <w:kern w:val="0"/>
              </w:rPr>
              <w:t>事业单位医疗</w:t>
            </w:r>
          </w:p>
        </w:tc>
        <w:tc>
          <w:tcPr>
            <w:tcW w:w="1040" w:type="dxa"/>
            <w:tcBorders>
              <w:top w:val="nil"/>
              <w:left w:val="nil"/>
              <w:bottom w:val="single" w:color="auto" w:sz="8" w:space="0"/>
              <w:right w:val="single" w:color="auto" w:sz="4" w:space="0"/>
            </w:tcBorders>
            <w:vAlign w:val="center"/>
          </w:tcPr>
          <w:p>
            <w:pPr>
              <w:widowControl/>
              <w:jc w:val="right"/>
              <w:rPr>
                <w:rFonts w:ascii="仿宋_GB2312" w:hAnsi="宋体" w:eastAsia="仿宋_GB2312" w:cs="宋体"/>
                <w:kern w:val="0"/>
                <w:sz w:val="24"/>
              </w:rPr>
            </w:pPr>
            <w:r>
              <w:rPr>
                <w:rFonts w:hint="eastAsia" w:ascii="宋体" w:hAnsi="宋体"/>
                <w:kern w:val="0"/>
              </w:rPr>
              <w:t>2.61</w:t>
            </w:r>
          </w:p>
        </w:tc>
        <w:tc>
          <w:tcPr>
            <w:tcW w:w="945" w:type="dxa"/>
            <w:tcBorders>
              <w:top w:val="nil"/>
              <w:left w:val="nil"/>
              <w:bottom w:val="single" w:color="auto" w:sz="8" w:space="0"/>
              <w:right w:val="single" w:color="auto" w:sz="4" w:space="0"/>
            </w:tcBorders>
            <w:vAlign w:val="center"/>
          </w:tcPr>
          <w:p>
            <w:pPr>
              <w:widowControl/>
              <w:jc w:val="right"/>
              <w:rPr>
                <w:rFonts w:ascii="仿宋_GB2312" w:hAnsi="宋体" w:eastAsia="仿宋_GB2312" w:cs="宋体"/>
                <w:kern w:val="0"/>
                <w:sz w:val="24"/>
              </w:rPr>
            </w:pPr>
            <w:r>
              <w:rPr>
                <w:rFonts w:hint="eastAsia" w:ascii="宋体" w:hAnsi="宋体"/>
                <w:kern w:val="0"/>
              </w:rPr>
              <w:t>2.61</w:t>
            </w:r>
          </w:p>
        </w:tc>
        <w:tc>
          <w:tcPr>
            <w:tcW w:w="939"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b/>
                <w:bCs/>
                <w:kern w:val="0"/>
              </w:rPr>
              <w:t>21</w:t>
            </w:r>
            <w:r>
              <w:rPr>
                <w:rFonts w:hint="eastAsia" w:ascii="宋体" w:hAnsi="宋体"/>
                <w:b/>
                <w:bCs/>
                <w:kern w:val="0"/>
              </w:rPr>
              <w:t>3</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b/>
                <w:bCs/>
                <w:kern w:val="0"/>
              </w:rPr>
              <w:t xml:space="preserve"> </w:t>
            </w:r>
            <w:r>
              <w:rPr>
                <w:rFonts w:hint="eastAsia" w:ascii="宋体" w:hAnsi="宋体"/>
                <w:b/>
                <w:bCs/>
                <w:kern w:val="0"/>
              </w:rPr>
              <w:t>农林水支出</w:t>
            </w:r>
          </w:p>
        </w:tc>
        <w:tc>
          <w:tcPr>
            <w:tcW w:w="1040" w:type="dxa"/>
            <w:tcBorders>
              <w:top w:val="nil"/>
              <w:left w:val="nil"/>
              <w:bottom w:val="single" w:color="auto" w:sz="8" w:space="0"/>
              <w:right w:val="single" w:color="auto" w:sz="4" w:space="0"/>
            </w:tcBorders>
            <w:vAlign w:val="center"/>
          </w:tcPr>
          <w:p>
            <w:pPr>
              <w:widowControl/>
              <w:jc w:val="right"/>
              <w:rPr>
                <w:rFonts w:ascii="仿宋_GB2312" w:hAnsi="宋体" w:eastAsia="仿宋_GB2312" w:cs="宋体"/>
                <w:kern w:val="0"/>
                <w:sz w:val="24"/>
              </w:rPr>
            </w:pPr>
            <w:r>
              <w:rPr>
                <w:rFonts w:hint="eastAsia" w:ascii="宋体"/>
                <w:b/>
                <w:bCs/>
                <w:kern w:val="0"/>
              </w:rPr>
              <w:t>92.81</w:t>
            </w:r>
          </w:p>
        </w:tc>
        <w:tc>
          <w:tcPr>
            <w:tcW w:w="945" w:type="dxa"/>
            <w:tcBorders>
              <w:top w:val="nil"/>
              <w:left w:val="nil"/>
              <w:bottom w:val="single" w:color="auto" w:sz="8" w:space="0"/>
              <w:right w:val="single" w:color="auto" w:sz="4" w:space="0"/>
            </w:tcBorders>
            <w:vAlign w:val="center"/>
          </w:tcPr>
          <w:p>
            <w:pPr>
              <w:widowControl/>
              <w:jc w:val="right"/>
              <w:rPr>
                <w:rFonts w:ascii="仿宋_GB2312" w:hAnsi="宋体" w:eastAsia="仿宋_GB2312" w:cs="宋体"/>
                <w:kern w:val="0"/>
                <w:sz w:val="24"/>
              </w:rPr>
            </w:pPr>
            <w:r>
              <w:rPr>
                <w:rFonts w:hint="eastAsia" w:ascii="宋体"/>
                <w:b/>
                <w:bCs/>
                <w:kern w:val="0"/>
              </w:rPr>
              <w:t>92.81</w:t>
            </w:r>
          </w:p>
        </w:tc>
        <w:tc>
          <w:tcPr>
            <w:tcW w:w="939"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7"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796"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b/>
                <w:bCs/>
                <w:kern w:val="0"/>
              </w:rPr>
              <w:t>21</w:t>
            </w:r>
            <w:r>
              <w:rPr>
                <w:rFonts w:hint="eastAsia" w:ascii="宋体" w:hAnsi="宋体"/>
                <w:b/>
                <w:bCs/>
                <w:kern w:val="0"/>
              </w:rPr>
              <w:t>303</w:t>
            </w:r>
          </w:p>
        </w:tc>
        <w:tc>
          <w:tcPr>
            <w:tcW w:w="1511" w:type="dxa"/>
            <w:tcBorders>
              <w:top w:val="nil"/>
              <w:left w:val="nil"/>
              <w:bottom w:val="nil"/>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ascii="宋体" w:hAnsi="宋体"/>
                <w:b/>
                <w:bCs/>
                <w:kern w:val="0"/>
              </w:rPr>
              <w:t xml:space="preserve"> </w:t>
            </w:r>
            <w:r>
              <w:rPr>
                <w:rFonts w:hint="eastAsia" w:ascii="宋体" w:hAnsi="宋体"/>
                <w:b/>
                <w:bCs/>
                <w:kern w:val="0"/>
              </w:rPr>
              <w:t>水利</w:t>
            </w:r>
          </w:p>
        </w:tc>
        <w:tc>
          <w:tcPr>
            <w:tcW w:w="1040" w:type="dxa"/>
            <w:tcBorders>
              <w:top w:val="nil"/>
              <w:left w:val="nil"/>
              <w:bottom w:val="nil"/>
              <w:right w:val="single" w:color="auto" w:sz="4" w:space="0"/>
            </w:tcBorders>
            <w:vAlign w:val="center"/>
          </w:tcPr>
          <w:p>
            <w:pPr>
              <w:widowControl/>
              <w:jc w:val="right"/>
              <w:rPr>
                <w:kern w:val="0"/>
                <w:sz w:val="20"/>
                <w:szCs w:val="20"/>
              </w:rPr>
            </w:pPr>
            <w:r>
              <w:rPr>
                <w:rFonts w:hint="eastAsia" w:ascii="宋体" w:hAnsi="宋体"/>
                <w:b/>
                <w:bCs/>
                <w:kern w:val="0"/>
              </w:rPr>
              <w:t>92.81</w:t>
            </w:r>
            <w:r>
              <w:rPr>
                <w:rFonts w:ascii="宋体" w:hAnsi="宋体"/>
                <w:b/>
                <w:bCs/>
                <w:kern w:val="0"/>
              </w:rPr>
              <w:t xml:space="preserve"> </w:t>
            </w:r>
          </w:p>
        </w:tc>
        <w:tc>
          <w:tcPr>
            <w:tcW w:w="945" w:type="dxa"/>
            <w:tcBorders>
              <w:top w:val="nil"/>
              <w:left w:val="nil"/>
              <w:bottom w:val="nil"/>
              <w:right w:val="single" w:color="auto" w:sz="4" w:space="0"/>
            </w:tcBorders>
            <w:vAlign w:val="center"/>
          </w:tcPr>
          <w:p>
            <w:pPr>
              <w:widowControl/>
              <w:jc w:val="right"/>
              <w:rPr>
                <w:kern w:val="0"/>
                <w:sz w:val="20"/>
                <w:szCs w:val="20"/>
              </w:rPr>
            </w:pPr>
            <w:r>
              <w:rPr>
                <w:rFonts w:hint="eastAsia" w:ascii="宋体" w:hAnsi="宋体"/>
                <w:b/>
                <w:bCs/>
                <w:kern w:val="0"/>
              </w:rPr>
              <w:t>92.81</w:t>
            </w:r>
            <w:r>
              <w:rPr>
                <w:rFonts w:ascii="宋体" w:hAnsi="宋体"/>
                <w:b/>
                <w:bCs/>
                <w:kern w:val="0"/>
              </w:rPr>
              <w:t xml:space="preserve"> </w:t>
            </w:r>
          </w:p>
        </w:tc>
        <w:tc>
          <w:tcPr>
            <w:tcW w:w="939" w:type="dxa"/>
            <w:tcBorders>
              <w:top w:val="nil"/>
              <w:left w:val="nil"/>
              <w:bottom w:val="nil"/>
              <w:right w:val="single" w:color="auto" w:sz="4" w:space="0"/>
            </w:tcBorders>
            <w:vAlign w:val="center"/>
          </w:tcPr>
          <w:p>
            <w:pPr>
              <w:widowControl/>
              <w:jc w:val="left"/>
              <w:rPr>
                <w:kern w:val="0"/>
                <w:sz w:val="20"/>
                <w:szCs w:val="20"/>
              </w:rPr>
            </w:pPr>
          </w:p>
        </w:tc>
        <w:tc>
          <w:tcPr>
            <w:tcW w:w="797" w:type="dxa"/>
            <w:tcBorders>
              <w:top w:val="nil"/>
              <w:left w:val="nil"/>
              <w:bottom w:val="nil"/>
              <w:right w:val="single" w:color="auto" w:sz="4" w:space="0"/>
            </w:tcBorders>
            <w:vAlign w:val="center"/>
          </w:tcPr>
          <w:p>
            <w:pPr>
              <w:widowControl/>
              <w:jc w:val="left"/>
              <w:rPr>
                <w:kern w:val="0"/>
                <w:sz w:val="20"/>
                <w:szCs w:val="20"/>
              </w:rPr>
            </w:pPr>
          </w:p>
        </w:tc>
        <w:tc>
          <w:tcPr>
            <w:tcW w:w="796" w:type="dxa"/>
            <w:tcBorders>
              <w:top w:val="nil"/>
              <w:left w:val="nil"/>
              <w:bottom w:val="nil"/>
              <w:right w:val="single" w:color="auto" w:sz="4" w:space="0"/>
            </w:tcBorders>
            <w:vAlign w:val="center"/>
          </w:tcPr>
          <w:p>
            <w:pPr>
              <w:widowControl/>
              <w:jc w:val="left"/>
              <w:rPr>
                <w:kern w:val="0"/>
                <w:sz w:val="20"/>
                <w:szCs w:val="20"/>
              </w:rPr>
            </w:pPr>
          </w:p>
        </w:tc>
        <w:tc>
          <w:tcPr>
            <w:tcW w:w="992" w:type="dxa"/>
            <w:tcBorders>
              <w:top w:val="nil"/>
              <w:left w:val="nil"/>
              <w:bottom w:val="nil"/>
              <w:right w:val="single" w:color="auto" w:sz="4" w:space="0"/>
            </w:tcBorders>
            <w:vAlign w:val="center"/>
          </w:tcPr>
          <w:p>
            <w:pPr>
              <w:widowControl/>
              <w:jc w:val="left"/>
              <w:rPr>
                <w:kern w:val="0"/>
                <w:sz w:val="20"/>
                <w:szCs w:val="20"/>
              </w:rPr>
            </w:pPr>
          </w:p>
        </w:tc>
        <w:tc>
          <w:tcPr>
            <w:tcW w:w="1134" w:type="dxa"/>
            <w:tcBorders>
              <w:top w:val="nil"/>
              <w:left w:val="nil"/>
              <w:bottom w:val="nil"/>
              <w:right w:val="single" w:color="auto" w:sz="8" w:space="0"/>
            </w:tcBorders>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ascii="宋体" w:hAnsi="宋体"/>
                <w:kern w:val="0"/>
              </w:rPr>
              <w:t>21</w:t>
            </w:r>
            <w:r>
              <w:rPr>
                <w:rFonts w:hint="eastAsia" w:ascii="宋体" w:hAnsi="宋体"/>
                <w:kern w:val="0"/>
              </w:rPr>
              <w:t>30399</w:t>
            </w:r>
          </w:p>
        </w:tc>
        <w:tc>
          <w:tcPr>
            <w:tcW w:w="1511" w:type="dxa"/>
            <w:tcBorders>
              <w:top w:val="nil"/>
              <w:left w:val="nil"/>
              <w:bottom w:val="single" w:color="auto" w:sz="8" w:space="0"/>
              <w:right w:val="single" w:color="auto" w:sz="4" w:space="0"/>
            </w:tcBorders>
            <w:shd w:val="clear" w:color="auto" w:fill="FFFFFF"/>
            <w:vAlign w:val="center"/>
          </w:tcPr>
          <w:p>
            <w:pPr>
              <w:widowControl/>
              <w:jc w:val="left"/>
              <w:rPr>
                <w:rFonts w:hint="eastAsia" w:ascii="仿宋_GB2312" w:hAnsi="宋体" w:eastAsia="仿宋_GB2312" w:cs="宋体"/>
                <w:kern w:val="0"/>
                <w:sz w:val="24"/>
              </w:rPr>
            </w:pPr>
            <w:r>
              <w:rPr>
                <w:rFonts w:hint="eastAsia" w:ascii="宋体"/>
                <w:kern w:val="0"/>
              </w:rPr>
              <w:t>其他水利支出</w:t>
            </w:r>
          </w:p>
        </w:tc>
        <w:tc>
          <w:tcPr>
            <w:tcW w:w="1040" w:type="dxa"/>
            <w:tcBorders>
              <w:top w:val="nil"/>
              <w:left w:val="nil"/>
              <w:bottom w:val="single" w:color="auto" w:sz="8" w:space="0"/>
              <w:right w:val="single" w:color="auto" w:sz="4" w:space="0"/>
            </w:tcBorders>
            <w:vAlign w:val="center"/>
          </w:tcPr>
          <w:p>
            <w:pPr>
              <w:widowControl/>
              <w:jc w:val="right"/>
              <w:rPr>
                <w:kern w:val="0"/>
                <w:sz w:val="20"/>
                <w:szCs w:val="20"/>
              </w:rPr>
            </w:pPr>
            <w:r>
              <w:rPr>
                <w:rFonts w:hint="eastAsia" w:ascii="宋体" w:hAnsi="宋体"/>
                <w:kern w:val="0"/>
              </w:rPr>
              <w:t>92.81</w:t>
            </w:r>
            <w:r>
              <w:rPr>
                <w:rFonts w:ascii="宋体" w:hAnsi="宋体"/>
                <w:kern w:val="0"/>
              </w:rPr>
              <w:t xml:space="preserve"> </w:t>
            </w:r>
          </w:p>
        </w:tc>
        <w:tc>
          <w:tcPr>
            <w:tcW w:w="945" w:type="dxa"/>
            <w:tcBorders>
              <w:top w:val="nil"/>
              <w:left w:val="nil"/>
              <w:bottom w:val="single" w:color="auto" w:sz="8" w:space="0"/>
              <w:right w:val="single" w:color="auto" w:sz="4" w:space="0"/>
            </w:tcBorders>
            <w:vAlign w:val="center"/>
          </w:tcPr>
          <w:p>
            <w:pPr>
              <w:widowControl/>
              <w:jc w:val="right"/>
              <w:rPr>
                <w:kern w:val="0"/>
                <w:sz w:val="20"/>
                <w:szCs w:val="20"/>
              </w:rPr>
            </w:pPr>
            <w:r>
              <w:rPr>
                <w:rFonts w:hint="eastAsia" w:ascii="宋体" w:hAnsi="宋体"/>
                <w:kern w:val="0"/>
              </w:rPr>
              <w:t>92.81</w:t>
            </w:r>
            <w:r>
              <w:rPr>
                <w:rFonts w:ascii="宋体" w:hAnsi="宋体"/>
                <w:kern w:val="0"/>
              </w:rPr>
              <w:t xml:space="preserve"> </w:t>
            </w:r>
          </w:p>
        </w:tc>
        <w:tc>
          <w:tcPr>
            <w:tcW w:w="939" w:type="dxa"/>
            <w:tcBorders>
              <w:top w:val="nil"/>
              <w:left w:val="nil"/>
              <w:bottom w:val="single" w:color="auto" w:sz="8" w:space="0"/>
              <w:right w:val="single" w:color="auto" w:sz="4" w:space="0"/>
            </w:tcBorders>
            <w:vAlign w:val="center"/>
          </w:tcPr>
          <w:p>
            <w:pPr>
              <w:widowControl/>
              <w:jc w:val="left"/>
              <w:rPr>
                <w:kern w:val="0"/>
                <w:sz w:val="20"/>
                <w:szCs w:val="20"/>
              </w:rPr>
            </w:pPr>
          </w:p>
        </w:tc>
        <w:tc>
          <w:tcPr>
            <w:tcW w:w="797" w:type="dxa"/>
            <w:tcBorders>
              <w:top w:val="nil"/>
              <w:left w:val="nil"/>
              <w:bottom w:val="single" w:color="auto" w:sz="8" w:space="0"/>
              <w:right w:val="single" w:color="auto" w:sz="4" w:space="0"/>
            </w:tcBorders>
            <w:vAlign w:val="center"/>
          </w:tcPr>
          <w:p>
            <w:pPr>
              <w:widowControl/>
              <w:jc w:val="left"/>
              <w:rPr>
                <w:kern w:val="0"/>
                <w:sz w:val="20"/>
                <w:szCs w:val="20"/>
              </w:rPr>
            </w:pPr>
          </w:p>
        </w:tc>
        <w:tc>
          <w:tcPr>
            <w:tcW w:w="796" w:type="dxa"/>
            <w:tcBorders>
              <w:top w:val="nil"/>
              <w:left w:val="nil"/>
              <w:bottom w:val="single" w:color="auto" w:sz="8" w:space="0"/>
              <w:right w:val="single" w:color="auto" w:sz="4" w:space="0"/>
            </w:tcBorders>
            <w:vAlign w:val="center"/>
          </w:tcPr>
          <w:p>
            <w:pPr>
              <w:widowControl/>
              <w:jc w:val="left"/>
              <w:rPr>
                <w:kern w:val="0"/>
                <w:sz w:val="20"/>
                <w:szCs w:val="20"/>
              </w:rPr>
            </w:pPr>
          </w:p>
        </w:tc>
        <w:tc>
          <w:tcPr>
            <w:tcW w:w="992" w:type="dxa"/>
            <w:tcBorders>
              <w:top w:val="nil"/>
              <w:left w:val="nil"/>
              <w:bottom w:val="single" w:color="auto" w:sz="8" w:space="0"/>
              <w:right w:val="single" w:color="auto" w:sz="4" w:space="0"/>
            </w:tcBorders>
            <w:vAlign w:val="center"/>
          </w:tcPr>
          <w:p>
            <w:pPr>
              <w:widowControl/>
              <w:jc w:val="left"/>
              <w:rPr>
                <w:kern w:val="0"/>
                <w:sz w:val="20"/>
                <w:szCs w:val="20"/>
              </w:rPr>
            </w:pPr>
          </w:p>
        </w:tc>
        <w:tc>
          <w:tcPr>
            <w:tcW w:w="1134" w:type="dxa"/>
            <w:tcBorders>
              <w:top w:val="nil"/>
              <w:left w:val="nil"/>
              <w:bottom w:val="single" w:color="auto" w:sz="8" w:space="0"/>
              <w:right w:val="single" w:color="auto" w:sz="8" w:space="0"/>
            </w:tcBorders>
            <w:vAlign w:val="center"/>
          </w:tcPr>
          <w:p>
            <w:pPr>
              <w:widowControl/>
              <w:jc w:val="left"/>
              <w:rPr>
                <w:kern w:val="0"/>
                <w:sz w:val="20"/>
                <w:szCs w:val="20"/>
              </w:rPr>
            </w:pP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注：本表反映部门本年度取得的各项收入情况。有关填表说明：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（3）1栏=（2+3+4+5+6+7）栏。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（5）该表数据来源于部门决算报表中的《收入决算表》（财决03表）。</w:t>
      </w:r>
    </w:p>
    <w:p>
      <w:pPr>
        <w:spacing w:line="360" w:lineRule="auto"/>
        <w:ind w:firstLine="523" w:firstLineChars="187"/>
        <w:rPr>
          <w:rFonts w:ascii="仿宋_GB2312" w:eastAsia="仿宋_GB2312"/>
          <w:sz w:val="28"/>
          <w:szCs w:val="28"/>
        </w:rPr>
      </w:pPr>
    </w:p>
    <w:p>
      <w:pPr>
        <w:spacing w:line="360" w:lineRule="auto"/>
        <w:ind w:firstLine="598" w:firstLineChars="187"/>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p>
      <w:pPr>
        <w:spacing w:line="360" w:lineRule="auto"/>
        <w:ind w:firstLine="374" w:firstLineChars="187"/>
        <w:jc w:val="left"/>
        <w:rPr>
          <w:rFonts w:ascii="宋体" w:hAnsi="宋体" w:cs="宋体"/>
          <w:color w:val="000000"/>
          <w:kern w:val="0"/>
          <w:sz w:val="20"/>
          <w:szCs w:val="20"/>
        </w:rPr>
      </w:pPr>
      <w:r>
        <w:rPr>
          <w:rFonts w:hint="eastAsia" w:ascii="宋体" w:hAnsi="宋体" w:cs="宋体"/>
          <w:color w:val="000000"/>
          <w:kern w:val="0"/>
          <w:sz w:val="20"/>
          <w:szCs w:val="20"/>
        </w:rPr>
        <w:t xml:space="preserve">                                                                      公开03表</w:t>
      </w:r>
    </w:p>
    <w:p>
      <w:pPr>
        <w:spacing w:line="360" w:lineRule="auto"/>
        <w:ind w:firstLine="374" w:firstLineChars="187"/>
        <w:rPr>
          <w:rFonts w:ascii="宋体" w:hAnsi="宋体" w:cs="宋体"/>
          <w:color w:val="000000"/>
          <w:kern w:val="0"/>
          <w:sz w:val="20"/>
          <w:szCs w:val="20"/>
        </w:rPr>
      </w:pPr>
      <w:r>
        <w:rPr>
          <w:rFonts w:hint="eastAsia" w:ascii="宋体" w:hAnsi="宋体" w:cs="宋体"/>
          <w:color w:val="000000"/>
          <w:kern w:val="0"/>
          <w:sz w:val="20"/>
          <w:szCs w:val="20"/>
        </w:rPr>
        <w:t>部门：                                                                     单位：万元</w:t>
      </w:r>
    </w:p>
    <w:tbl>
      <w:tblPr>
        <w:tblStyle w:val="7"/>
        <w:tblW w:w="9176" w:type="dxa"/>
        <w:tblInd w:w="91" w:type="dxa"/>
        <w:tblLayout w:type="fixed"/>
        <w:tblCellMar>
          <w:top w:w="0" w:type="dxa"/>
          <w:left w:w="108" w:type="dxa"/>
          <w:bottom w:w="0" w:type="dxa"/>
          <w:right w:w="108" w:type="dxa"/>
        </w:tblCellMar>
      </w:tblPr>
      <w:tblGrid>
        <w:gridCol w:w="1225"/>
        <w:gridCol w:w="1909"/>
        <w:gridCol w:w="992"/>
        <w:gridCol w:w="956"/>
        <w:gridCol w:w="1055"/>
        <w:gridCol w:w="992"/>
        <w:gridCol w:w="913"/>
        <w:gridCol w:w="1134"/>
      </w:tblGrid>
      <w:tr>
        <w:tblPrEx>
          <w:tblLayout w:type="fixed"/>
          <w:tblCellMar>
            <w:top w:w="0" w:type="dxa"/>
            <w:left w:w="108" w:type="dxa"/>
            <w:bottom w:w="0" w:type="dxa"/>
            <w:right w:w="108" w:type="dxa"/>
          </w:tblCellMar>
        </w:tblPrEx>
        <w:trPr>
          <w:trHeight w:val="448" w:hRule="atLeast"/>
          <w:tblHeader/>
        </w:trPr>
        <w:tc>
          <w:tcPr>
            <w:tcW w:w="3134" w:type="dxa"/>
            <w:gridSpan w:val="2"/>
            <w:tcBorders>
              <w:top w:val="single" w:color="auto" w:sz="8" w:space="0"/>
              <w:left w:val="single" w:color="auto" w:sz="8" w:space="0"/>
              <w:bottom w:val="single" w:color="auto"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99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956"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055"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99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913"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134"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48" w:hRule="atLeast"/>
          <w:tblHeader/>
        </w:trPr>
        <w:tc>
          <w:tcPr>
            <w:tcW w:w="1225" w:type="dxa"/>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909"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5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5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48" w:hRule="atLeast"/>
          <w:tblHeader/>
        </w:trPr>
        <w:tc>
          <w:tcPr>
            <w:tcW w:w="1225"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cs="宋体"/>
                <w:kern w:val="0"/>
                <w:sz w:val="24"/>
              </w:rPr>
            </w:pPr>
          </w:p>
        </w:tc>
        <w:tc>
          <w:tcPr>
            <w:tcW w:w="19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5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5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48" w:hRule="atLeast"/>
          <w:tblHeader/>
        </w:trPr>
        <w:tc>
          <w:tcPr>
            <w:tcW w:w="3134" w:type="dxa"/>
            <w:gridSpan w:val="2"/>
            <w:tcBorders>
              <w:top w:val="single" w:color="auto" w:sz="4" w:space="0"/>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栏次</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95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055"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913"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1134"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3134" w:type="dxa"/>
            <w:gridSpan w:val="2"/>
            <w:tcBorders>
              <w:top w:val="nil"/>
              <w:left w:val="single" w:color="auto" w:sz="8" w:space="0"/>
              <w:bottom w:val="single" w:color="auto" w:sz="4" w:space="0"/>
              <w:right w:val="single" w:color="000000"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95.42</w:t>
            </w:r>
            <w:r>
              <w:rPr>
                <w:rFonts w:hint="eastAsia" w:ascii="宋体" w:hAnsi="宋体" w:cs="宋体"/>
                <w:kern w:val="0"/>
                <w:sz w:val="24"/>
              </w:rPr>
              <w:t>　</w:t>
            </w: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95.42</w:t>
            </w: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201</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一般公共服务支出</w:t>
            </w:r>
          </w:p>
        </w:tc>
        <w:tc>
          <w:tcPr>
            <w:tcW w:w="99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4"/>
                <w:lang w:val="en-US" w:eastAsia="zh-CN"/>
              </w:rPr>
            </w:pP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20101</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人大事务</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2010101</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行政运行</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2010102</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一般行政管理事务</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2010199</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仿宋_GB2312" w:hAnsi="宋体" w:eastAsia="仿宋_GB2312" w:cs="宋体"/>
                <w:kern w:val="0"/>
                <w:sz w:val="24"/>
              </w:rPr>
              <w:t>其他人大事务支出</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ascii="宋体" w:hAnsi="宋体"/>
                <w:b/>
                <w:bCs/>
                <w:kern w:val="0"/>
              </w:rPr>
              <w:t>210</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b/>
                <w:bCs/>
                <w:kern w:val="0"/>
              </w:rPr>
              <w:t>医疗卫生与计划生育支出</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2.61</w:t>
            </w: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2.61</w:t>
            </w: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ascii="宋体" w:hAnsi="宋体"/>
                <w:b/>
                <w:bCs/>
                <w:kern w:val="0"/>
              </w:rPr>
              <w:t>21005</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b/>
                <w:bCs/>
                <w:kern w:val="0"/>
              </w:rPr>
              <w:t>医疗保险</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2.61</w:t>
            </w: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2.61</w:t>
            </w: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4" w:space="0"/>
              <w:right w:val="nil"/>
            </w:tcBorders>
            <w:shd w:val="clear" w:color="auto" w:fill="FFFFFF"/>
            <w:vAlign w:val="center"/>
          </w:tcPr>
          <w:p>
            <w:pPr>
              <w:widowControl/>
              <w:jc w:val="left"/>
              <w:rPr>
                <w:rFonts w:ascii="宋体" w:hAnsi="宋体" w:cs="宋体"/>
                <w:kern w:val="0"/>
                <w:sz w:val="24"/>
              </w:rPr>
            </w:pPr>
            <w:r>
              <w:rPr>
                <w:rFonts w:ascii="宋体" w:hAnsi="宋体"/>
                <w:kern w:val="0"/>
              </w:rPr>
              <w:t>2100502</w:t>
            </w:r>
          </w:p>
        </w:tc>
        <w:tc>
          <w:tcPr>
            <w:tcW w:w="1909"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kern w:val="0"/>
              </w:rPr>
              <w:t>事业单位医疗</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2.61</w:t>
            </w:r>
          </w:p>
        </w:tc>
        <w:tc>
          <w:tcPr>
            <w:tcW w:w="95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2.61</w:t>
            </w:r>
          </w:p>
        </w:tc>
        <w:tc>
          <w:tcPr>
            <w:tcW w:w="105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8" w:space="0"/>
              <w:right w:val="nil"/>
            </w:tcBorders>
            <w:shd w:val="clear" w:color="auto" w:fill="FFFFFF"/>
            <w:vAlign w:val="center"/>
          </w:tcPr>
          <w:p>
            <w:pPr>
              <w:widowControl/>
              <w:jc w:val="left"/>
              <w:rPr>
                <w:rFonts w:ascii="宋体" w:hAnsi="宋体" w:cs="宋体"/>
                <w:kern w:val="0"/>
                <w:sz w:val="24"/>
              </w:rPr>
            </w:pPr>
            <w:r>
              <w:rPr>
                <w:rFonts w:ascii="宋体" w:hAnsi="宋体"/>
                <w:b/>
                <w:bCs/>
                <w:kern w:val="0"/>
              </w:rPr>
              <w:t>21</w:t>
            </w:r>
            <w:r>
              <w:rPr>
                <w:rFonts w:hint="eastAsia" w:ascii="宋体" w:hAnsi="宋体"/>
                <w:b/>
                <w:bCs/>
                <w:kern w:val="0"/>
              </w:rPr>
              <w:t>3</w:t>
            </w:r>
          </w:p>
        </w:tc>
        <w:tc>
          <w:tcPr>
            <w:tcW w:w="1909" w:type="dxa"/>
            <w:tcBorders>
              <w:top w:val="nil"/>
              <w:left w:val="single" w:color="auto" w:sz="4" w:space="0"/>
              <w:bottom w:val="single" w:color="auto" w:sz="8" w:space="0"/>
              <w:right w:val="single" w:color="auto" w:sz="4" w:space="0"/>
            </w:tcBorders>
            <w:shd w:val="clear" w:color="auto" w:fill="FFFFFF"/>
            <w:vAlign w:val="center"/>
          </w:tcPr>
          <w:p>
            <w:pPr>
              <w:widowControl/>
              <w:jc w:val="left"/>
              <w:rPr>
                <w:rFonts w:ascii="宋体" w:hAnsi="宋体" w:cs="宋体"/>
                <w:kern w:val="0"/>
                <w:sz w:val="24"/>
              </w:rPr>
            </w:pPr>
            <w:r>
              <w:rPr>
                <w:rFonts w:ascii="宋体" w:hAnsi="宋体"/>
                <w:b/>
                <w:bCs/>
                <w:kern w:val="0"/>
              </w:rPr>
              <w:t xml:space="preserve"> </w:t>
            </w:r>
            <w:r>
              <w:rPr>
                <w:rFonts w:hint="eastAsia" w:ascii="宋体" w:hAnsi="宋体"/>
                <w:b/>
                <w:bCs/>
                <w:kern w:val="0"/>
              </w:rPr>
              <w:t>农林水支出</w:t>
            </w: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b/>
                <w:bCs/>
                <w:kern w:val="0"/>
              </w:rPr>
              <w:t>92.81</w:t>
            </w:r>
          </w:p>
        </w:tc>
        <w:tc>
          <w:tcPr>
            <w:tcW w:w="956"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b/>
                <w:bCs/>
                <w:kern w:val="0"/>
              </w:rPr>
              <w:t>92.81</w:t>
            </w:r>
          </w:p>
        </w:tc>
        <w:tc>
          <w:tcPr>
            <w:tcW w:w="105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8" w:space="0"/>
              <w:right w:val="nil"/>
            </w:tcBorders>
            <w:shd w:val="clear" w:color="auto" w:fill="FFFFFF"/>
            <w:vAlign w:val="center"/>
          </w:tcPr>
          <w:p>
            <w:pPr>
              <w:widowControl/>
              <w:jc w:val="left"/>
              <w:rPr>
                <w:rFonts w:ascii="宋体" w:hAnsi="宋体" w:cs="宋体"/>
                <w:kern w:val="0"/>
                <w:sz w:val="24"/>
              </w:rPr>
            </w:pPr>
            <w:r>
              <w:rPr>
                <w:rFonts w:ascii="宋体" w:hAnsi="宋体"/>
                <w:b/>
                <w:bCs/>
                <w:kern w:val="0"/>
              </w:rPr>
              <w:t>21</w:t>
            </w:r>
            <w:r>
              <w:rPr>
                <w:rFonts w:hint="eastAsia" w:ascii="宋体" w:hAnsi="宋体"/>
                <w:b/>
                <w:bCs/>
                <w:kern w:val="0"/>
              </w:rPr>
              <w:t>303</w:t>
            </w:r>
          </w:p>
        </w:tc>
        <w:tc>
          <w:tcPr>
            <w:tcW w:w="1909" w:type="dxa"/>
            <w:tcBorders>
              <w:top w:val="nil"/>
              <w:left w:val="single" w:color="auto" w:sz="4" w:space="0"/>
              <w:bottom w:val="single" w:color="auto" w:sz="8" w:space="0"/>
              <w:right w:val="single" w:color="auto" w:sz="4" w:space="0"/>
            </w:tcBorders>
            <w:shd w:val="clear" w:color="auto" w:fill="FFFFFF"/>
            <w:vAlign w:val="center"/>
          </w:tcPr>
          <w:p>
            <w:pPr>
              <w:widowControl/>
              <w:jc w:val="left"/>
              <w:rPr>
                <w:rFonts w:ascii="宋体" w:hAnsi="宋体" w:cs="宋体"/>
                <w:kern w:val="0"/>
                <w:sz w:val="24"/>
              </w:rPr>
            </w:pPr>
            <w:r>
              <w:rPr>
                <w:rFonts w:ascii="宋体" w:hAnsi="宋体"/>
                <w:b/>
                <w:bCs/>
                <w:kern w:val="0"/>
              </w:rPr>
              <w:t xml:space="preserve"> </w:t>
            </w:r>
            <w:r>
              <w:rPr>
                <w:rFonts w:hint="eastAsia" w:ascii="宋体" w:hAnsi="宋体"/>
                <w:b/>
                <w:bCs/>
                <w:kern w:val="0"/>
              </w:rPr>
              <w:t>水利</w:t>
            </w: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92.81</w:t>
            </w:r>
            <w:r>
              <w:rPr>
                <w:rFonts w:ascii="宋体" w:hAnsi="宋体"/>
                <w:b/>
                <w:bCs/>
                <w:kern w:val="0"/>
              </w:rPr>
              <w:t xml:space="preserve"> </w:t>
            </w:r>
          </w:p>
        </w:tc>
        <w:tc>
          <w:tcPr>
            <w:tcW w:w="956"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92.81</w:t>
            </w:r>
            <w:r>
              <w:rPr>
                <w:rFonts w:ascii="宋体" w:hAnsi="宋体"/>
                <w:b/>
                <w:bCs/>
                <w:kern w:val="0"/>
              </w:rPr>
              <w:t xml:space="preserve"> </w:t>
            </w:r>
          </w:p>
        </w:tc>
        <w:tc>
          <w:tcPr>
            <w:tcW w:w="105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13"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225" w:type="dxa"/>
            <w:tcBorders>
              <w:top w:val="single" w:color="auto" w:sz="4" w:space="0"/>
              <w:left w:val="single" w:color="auto" w:sz="8" w:space="0"/>
              <w:bottom w:val="single" w:color="auto" w:sz="8" w:space="0"/>
              <w:right w:val="nil"/>
            </w:tcBorders>
            <w:shd w:val="clear" w:color="auto" w:fill="FFFFFF"/>
            <w:vAlign w:val="center"/>
          </w:tcPr>
          <w:p>
            <w:pPr>
              <w:widowControl/>
              <w:jc w:val="left"/>
              <w:rPr>
                <w:rFonts w:ascii="仿宋_GB2312" w:hAnsi="宋体" w:eastAsia="仿宋_GB2312" w:cs="宋体"/>
                <w:kern w:val="0"/>
                <w:sz w:val="24"/>
              </w:rPr>
            </w:pPr>
            <w:r>
              <w:rPr>
                <w:rFonts w:ascii="宋体" w:hAnsi="宋体"/>
                <w:kern w:val="0"/>
              </w:rPr>
              <w:t>21</w:t>
            </w:r>
            <w:r>
              <w:rPr>
                <w:rFonts w:hint="eastAsia" w:ascii="宋体" w:hAnsi="宋体"/>
                <w:kern w:val="0"/>
              </w:rPr>
              <w:t>30399</w:t>
            </w:r>
          </w:p>
        </w:tc>
        <w:tc>
          <w:tcPr>
            <w:tcW w:w="1909" w:type="dxa"/>
            <w:tcBorders>
              <w:top w:val="nil"/>
              <w:left w:val="single" w:color="auto" w:sz="4" w:space="0"/>
              <w:bottom w:val="single" w:color="auto" w:sz="8" w:space="0"/>
              <w:right w:val="single" w:color="auto" w:sz="4" w:space="0"/>
            </w:tcBorders>
            <w:shd w:val="clear" w:color="auto" w:fill="FFFFFF"/>
            <w:vAlign w:val="center"/>
          </w:tcPr>
          <w:p>
            <w:pPr>
              <w:widowControl/>
              <w:jc w:val="left"/>
              <w:rPr>
                <w:rFonts w:ascii="仿宋_GB2312" w:hAnsi="宋体" w:eastAsia="仿宋_GB2312" w:cs="宋体"/>
                <w:kern w:val="0"/>
                <w:sz w:val="24"/>
              </w:rPr>
            </w:pPr>
            <w:r>
              <w:rPr>
                <w:rFonts w:hint="eastAsia" w:ascii="宋体"/>
                <w:kern w:val="0"/>
              </w:rPr>
              <w:t>其他水利支出</w:t>
            </w: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92.81</w:t>
            </w:r>
            <w:r>
              <w:rPr>
                <w:rFonts w:ascii="宋体" w:hAnsi="宋体"/>
                <w:kern w:val="0"/>
              </w:rPr>
              <w:t xml:space="preserve"> </w:t>
            </w:r>
          </w:p>
        </w:tc>
        <w:tc>
          <w:tcPr>
            <w:tcW w:w="956"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92.81</w:t>
            </w:r>
            <w:r>
              <w:rPr>
                <w:rFonts w:ascii="宋体" w:hAnsi="宋体"/>
                <w:kern w:val="0"/>
              </w:rPr>
              <w:t xml:space="preserve"> </w:t>
            </w:r>
          </w:p>
        </w:tc>
        <w:tc>
          <w:tcPr>
            <w:tcW w:w="105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913"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注：本表反映部门本年度各项支出情况。有关填表说明：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（3）1栏=（2+3+4+5+6）栏。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（5）该表数据来源于部门决算报表中的《支出决算表》（财决04表）。</w:t>
      </w:r>
    </w:p>
    <w:p>
      <w:pPr>
        <w:spacing w:line="288" w:lineRule="auto"/>
        <w:ind w:firstLine="643" w:firstLineChars="200"/>
        <w:rPr>
          <w:rFonts w:ascii="仿宋_GB2312" w:eastAsia="仿宋_GB2312"/>
          <w:b/>
          <w:sz w:val="32"/>
          <w:szCs w:val="32"/>
        </w:rPr>
      </w:pPr>
    </w:p>
    <w:p>
      <w:pPr>
        <w:spacing w:line="288" w:lineRule="auto"/>
        <w:ind w:firstLine="640" w:firstLineChars="200"/>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p>
      <w:pPr>
        <w:spacing w:line="288" w:lineRule="auto"/>
        <w:ind w:firstLine="400" w:firstLineChars="200"/>
        <w:jc w:val="right"/>
        <w:rPr>
          <w:rFonts w:ascii="宋体" w:hAnsi="宋体" w:cs="宋体"/>
          <w:color w:val="000000"/>
          <w:kern w:val="0"/>
          <w:sz w:val="20"/>
          <w:szCs w:val="20"/>
        </w:rPr>
      </w:pPr>
      <w:r>
        <w:rPr>
          <w:rFonts w:hint="eastAsia" w:ascii="宋体" w:hAnsi="宋体" w:cs="宋体"/>
          <w:color w:val="000000"/>
          <w:kern w:val="0"/>
          <w:sz w:val="20"/>
          <w:szCs w:val="20"/>
        </w:rPr>
        <w:t>公开04表</w:t>
      </w:r>
    </w:p>
    <w:p>
      <w:pPr>
        <w:spacing w:line="288" w:lineRule="auto"/>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 xml:space="preserve">部门：                                                                   单位：万元  </w:t>
      </w:r>
    </w:p>
    <w:tbl>
      <w:tblPr>
        <w:tblStyle w:val="7"/>
        <w:tblW w:w="8803" w:type="dxa"/>
        <w:tblInd w:w="91" w:type="dxa"/>
        <w:tblLayout w:type="fixed"/>
        <w:tblCellMar>
          <w:top w:w="0" w:type="dxa"/>
          <w:left w:w="108" w:type="dxa"/>
          <w:bottom w:w="0" w:type="dxa"/>
          <w:right w:w="108" w:type="dxa"/>
        </w:tblCellMar>
      </w:tblPr>
      <w:tblGrid>
        <w:gridCol w:w="1858"/>
        <w:gridCol w:w="556"/>
        <w:gridCol w:w="841"/>
        <w:gridCol w:w="2005"/>
        <w:gridCol w:w="556"/>
        <w:gridCol w:w="859"/>
        <w:gridCol w:w="916"/>
        <w:gridCol w:w="1212"/>
      </w:tblGrid>
      <w:tr>
        <w:tblPrEx>
          <w:tblLayout w:type="fixed"/>
          <w:tblCellMar>
            <w:top w:w="0" w:type="dxa"/>
            <w:left w:w="108" w:type="dxa"/>
            <w:bottom w:w="0" w:type="dxa"/>
            <w:right w:w="108" w:type="dxa"/>
          </w:tblCellMar>
        </w:tblPrEx>
        <w:trPr>
          <w:trHeight w:val="402" w:hRule="atLeast"/>
          <w:tblHeader/>
        </w:trPr>
        <w:tc>
          <w:tcPr>
            <w:tcW w:w="325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收入</w:t>
            </w:r>
          </w:p>
        </w:tc>
        <w:tc>
          <w:tcPr>
            <w:tcW w:w="554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tblHeader/>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4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金额</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5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9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21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tblHeader/>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84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85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9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121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4</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一、一般公共预算财政拨款</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95.42</w:t>
            </w: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二、政府性基金预算财政拨款</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三、国防支出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859" w:type="dxa"/>
            <w:tcBorders>
              <w:top w:val="single" w:color="auto" w:sz="4" w:space="0"/>
              <w:left w:val="nil"/>
              <w:bottom w:val="single" w:color="auto" w:sz="4" w:space="0"/>
              <w:right w:val="nil"/>
            </w:tcBorders>
            <w:shd w:val="clear" w:color="auto" w:fill="auto"/>
            <w:vAlign w:val="center"/>
          </w:tcPr>
          <w:p>
            <w:pPr>
              <w:widowControl/>
              <w:jc w:val="right"/>
              <w:rPr>
                <w:rFonts w:ascii="宋体" w:hAnsi="宋体" w:cs="宋体"/>
                <w:kern w:val="0"/>
                <w:sz w:val="22"/>
                <w:szCs w:val="22"/>
              </w:rPr>
            </w:pPr>
            <w:r>
              <w:rPr>
                <w:rFonts w:hint="eastAsia" w:ascii="宋体" w:hAnsi="宋体"/>
                <w:kern w:val="0"/>
                <w:sz w:val="24"/>
                <w:szCs w:val="24"/>
              </w:rPr>
              <w:t>2.61</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宋体"/>
                <w:kern w:val="0"/>
                <w:sz w:val="22"/>
                <w:szCs w:val="22"/>
              </w:rPr>
            </w:pPr>
            <w:r>
              <w:rPr>
                <w:rFonts w:hint="eastAsia" w:ascii="宋体" w:hAnsi="宋体"/>
                <w:kern w:val="0"/>
                <w:sz w:val="24"/>
                <w:szCs w:val="24"/>
              </w:rPr>
              <w:t>2.61</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kern w:val="0"/>
                <w:sz w:val="24"/>
                <w:szCs w:val="24"/>
              </w:rPr>
              <w:t>九、医疗卫生与计划生育支出</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859" w:type="dxa"/>
            <w:tcBorders>
              <w:top w:val="single" w:color="auto" w:sz="4" w:space="0"/>
              <w:left w:val="nil"/>
              <w:bottom w:val="single" w:color="auto" w:sz="4" w:space="0"/>
              <w:right w:val="nil"/>
            </w:tcBorders>
            <w:shd w:val="clear" w:color="auto" w:fill="auto"/>
            <w:vAlign w:val="center"/>
          </w:tcPr>
          <w:p>
            <w:pPr>
              <w:widowControl/>
              <w:jc w:val="right"/>
              <w:rPr>
                <w:rFonts w:ascii="宋体" w:hAnsi="宋体" w:cs="宋体"/>
                <w:kern w:val="0"/>
                <w:sz w:val="22"/>
                <w:szCs w:val="22"/>
              </w:rPr>
            </w:pPr>
            <w:r>
              <w:rPr>
                <w:rFonts w:hint="eastAsia" w:ascii="宋体" w:hAnsi="宋体"/>
                <w:kern w:val="0"/>
                <w:sz w:val="24"/>
                <w:szCs w:val="24"/>
              </w:rPr>
              <w:t>92.81</w:t>
            </w:r>
          </w:p>
        </w:tc>
        <w:tc>
          <w:tcPr>
            <w:tcW w:w="916"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宋体"/>
                <w:kern w:val="0"/>
                <w:sz w:val="22"/>
                <w:szCs w:val="22"/>
              </w:rPr>
            </w:pPr>
            <w:r>
              <w:rPr>
                <w:rFonts w:hint="eastAsia" w:ascii="宋体" w:hAnsi="宋体"/>
                <w:kern w:val="0"/>
                <w:sz w:val="24"/>
                <w:szCs w:val="24"/>
              </w:rPr>
              <w:t>92.81</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kern w:val="0"/>
                <w:sz w:val="24"/>
                <w:szCs w:val="24"/>
              </w:rPr>
              <w:t>十二、农林水支出</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本年收入合计</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95.42</w:t>
            </w: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本年支出合计</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95.42</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95.42</w:t>
            </w:r>
            <w:r>
              <w:rPr>
                <w:rFonts w:hint="eastAsia" w:ascii="宋体" w:hAnsi="宋体" w:cs="宋体"/>
                <w:kern w:val="0"/>
                <w:sz w:val="22"/>
                <w:szCs w:val="22"/>
              </w:rPr>
              <w:t>　</w:t>
            </w:r>
          </w:p>
        </w:tc>
        <w:tc>
          <w:tcPr>
            <w:tcW w:w="12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r>
              <w:rPr>
                <w:rFonts w:hint="eastAsia" w:ascii="宋体" w:hAnsi="宋体" w:cs="宋体"/>
                <w:b/>
                <w:bCs/>
                <w:kern w:val="0"/>
                <w:sz w:val="22"/>
                <w:szCs w:val="22"/>
                <w:lang w:val="en-US" w:eastAsia="zh-CN"/>
              </w:rPr>
              <w:t>0</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年初财政拨款结转和结余</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年末结转和结余</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一般公共预算财政拨款</w:t>
            </w:r>
          </w:p>
        </w:tc>
        <w:tc>
          <w:tcPr>
            <w:tcW w:w="55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政府性基金预算财政拨款</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84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95.42</w:t>
            </w:r>
            <w:r>
              <w:rPr>
                <w:rFonts w:hint="eastAsia" w:ascii="宋体" w:hAnsi="宋体" w:cs="宋体"/>
                <w:kern w:val="0"/>
                <w:sz w:val="22"/>
                <w:szCs w:val="22"/>
              </w:rPr>
              <w:t>　</w:t>
            </w:r>
          </w:p>
        </w:tc>
        <w:tc>
          <w:tcPr>
            <w:tcW w:w="2005"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总计</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859" w:type="dxa"/>
            <w:tcBorders>
              <w:top w:val="single" w:color="auto" w:sz="4" w:space="0"/>
              <w:left w:val="nil"/>
              <w:bottom w:val="single" w:color="auto" w:sz="4" w:space="0"/>
              <w:right w:val="nil"/>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95.42</w:t>
            </w:r>
          </w:p>
        </w:tc>
        <w:tc>
          <w:tcPr>
            <w:tcW w:w="9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95.42</w:t>
            </w:r>
          </w:p>
        </w:tc>
        <w:tc>
          <w:tcPr>
            <w:tcW w:w="121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　</w:t>
            </w:r>
            <w:r>
              <w:rPr>
                <w:rFonts w:hint="eastAsia" w:ascii="宋体" w:hAnsi="宋体" w:cs="宋体"/>
                <w:b/>
                <w:bCs/>
                <w:kern w:val="0"/>
                <w:sz w:val="22"/>
                <w:szCs w:val="22"/>
                <w:lang w:val="en-US" w:eastAsia="zh-CN"/>
              </w:rPr>
              <w:t>0</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注：本表反映部门本年度财政拨款的总收支和年末结转结余情况。有关填表说明：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本表支出项目填列到类级支出科目，没有发生数的类级支出科目不用填列。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（3）收入总计数应等于支出总计数。</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（4）此表没有发生数据的，在合计栏填“0”，并在该表下方附简要说明。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（5）该表数据来源于部门决算报表中的《财政拨款收入支出决算总表》（财决01-1表）。</w:t>
      </w:r>
    </w:p>
    <w:p>
      <w:pPr>
        <w:spacing w:line="288" w:lineRule="auto"/>
        <w:rPr>
          <w:rFonts w:ascii="仿宋_GB2312" w:eastAsia="仿宋_GB2312"/>
          <w:b/>
          <w:sz w:val="32"/>
          <w:szCs w:val="32"/>
        </w:rPr>
      </w:pPr>
    </w:p>
    <w:tbl>
      <w:tblPr>
        <w:tblStyle w:val="7"/>
        <w:tblW w:w="8946" w:type="dxa"/>
        <w:tblInd w:w="93" w:type="dxa"/>
        <w:tblLayout w:type="fixed"/>
        <w:tblCellMar>
          <w:top w:w="0" w:type="dxa"/>
          <w:left w:w="108" w:type="dxa"/>
          <w:bottom w:w="0" w:type="dxa"/>
          <w:right w:w="108" w:type="dxa"/>
        </w:tblCellMar>
      </w:tblPr>
      <w:tblGrid>
        <w:gridCol w:w="560"/>
        <w:gridCol w:w="560"/>
        <w:gridCol w:w="1872"/>
        <w:gridCol w:w="1985"/>
        <w:gridCol w:w="1984"/>
        <w:gridCol w:w="1985"/>
      </w:tblGrid>
      <w:tr>
        <w:tblPrEx>
          <w:tblLayout w:type="fixed"/>
          <w:tblCellMar>
            <w:top w:w="0" w:type="dxa"/>
            <w:left w:w="108" w:type="dxa"/>
            <w:bottom w:w="0" w:type="dxa"/>
            <w:right w:w="108" w:type="dxa"/>
          </w:tblCellMar>
        </w:tblPrEx>
        <w:trPr>
          <w:trHeight w:val="600" w:hRule="atLeast"/>
        </w:trPr>
        <w:tc>
          <w:tcPr>
            <w:tcW w:w="8946" w:type="dxa"/>
            <w:gridSpan w:val="6"/>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一般公共预算财政拨款支出决算表</w:t>
            </w:r>
          </w:p>
        </w:tc>
      </w:tr>
      <w:tr>
        <w:tblPrEx>
          <w:tblLayout w:type="fixed"/>
          <w:tblCellMar>
            <w:top w:w="0" w:type="dxa"/>
            <w:left w:w="108" w:type="dxa"/>
            <w:bottom w:w="0" w:type="dxa"/>
            <w:right w:w="108" w:type="dxa"/>
          </w:tblCellMar>
        </w:tblPrEx>
        <w:trPr>
          <w:trHeight w:val="222" w:hRule="atLeast"/>
        </w:trPr>
        <w:tc>
          <w:tcPr>
            <w:tcW w:w="560"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0"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72"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4"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5"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公开05表</w:t>
            </w:r>
          </w:p>
        </w:tc>
      </w:tr>
      <w:tr>
        <w:tblPrEx>
          <w:tblLayout w:type="fixed"/>
          <w:tblCellMar>
            <w:top w:w="0" w:type="dxa"/>
            <w:left w:w="108" w:type="dxa"/>
            <w:bottom w:w="0" w:type="dxa"/>
            <w:right w:w="108" w:type="dxa"/>
          </w:tblCellMar>
        </w:tblPrEx>
        <w:trPr>
          <w:trHeight w:val="300" w:hRule="atLeast"/>
        </w:trPr>
        <w:tc>
          <w:tcPr>
            <w:tcW w:w="1120"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872"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5"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5"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2992"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1985"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98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985"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trPr>
        <w:tc>
          <w:tcPr>
            <w:tcW w:w="1120"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87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985"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8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98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992"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85"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3</w:t>
            </w:r>
          </w:p>
        </w:tc>
      </w:tr>
      <w:tr>
        <w:tblPrEx>
          <w:tblLayout w:type="fixed"/>
          <w:tblCellMar>
            <w:top w:w="0" w:type="dxa"/>
            <w:left w:w="108" w:type="dxa"/>
            <w:bottom w:w="0" w:type="dxa"/>
            <w:right w:w="108" w:type="dxa"/>
          </w:tblCellMar>
        </w:tblPrEx>
        <w:trPr>
          <w:trHeight w:val="450" w:hRule="atLeast"/>
        </w:trPr>
        <w:tc>
          <w:tcPr>
            <w:tcW w:w="2992"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95.42</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95.42</w:t>
            </w:r>
            <w:r>
              <w:rPr>
                <w:rFonts w:hint="eastAsia" w:ascii="宋体" w:hAnsi="宋体" w:cs="宋体"/>
                <w:kern w:val="0"/>
                <w:sz w:val="24"/>
              </w:rPr>
              <w:t>　</w:t>
            </w:r>
          </w:p>
        </w:tc>
        <w:tc>
          <w:tcPr>
            <w:tcW w:w="1985"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0</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201</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一般公共服务支出</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20101</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人大事务</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2010101</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行政运行</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2010102</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一般行政管理事务</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2010199</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仿宋_GB2312" w:hAnsi="宋体" w:eastAsia="仿宋_GB2312" w:cs="宋体"/>
                <w:kern w:val="0"/>
                <w:sz w:val="24"/>
              </w:rPr>
              <w:t>其他人大事务支出</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b/>
                <w:bCs/>
                <w:kern w:val="0"/>
              </w:rPr>
              <w:t>210</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b/>
                <w:bCs/>
                <w:kern w:val="0"/>
              </w:rPr>
              <w:t>医疗卫生与计划生育支出</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2.61</w:t>
            </w:r>
          </w:p>
        </w:tc>
        <w:tc>
          <w:tcPr>
            <w:tcW w:w="198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ascii="宋体"/>
                <w:kern w:val="0"/>
                <w:sz w:val="24"/>
                <w:szCs w:val="24"/>
              </w:rPr>
              <w:t>0.00</w:t>
            </w: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b/>
                <w:bCs/>
                <w:kern w:val="0"/>
              </w:rPr>
              <w:t>21005</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b/>
                <w:bCs/>
                <w:kern w:val="0"/>
              </w:rPr>
              <w:t>医疗保险</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2.61</w:t>
            </w:r>
          </w:p>
        </w:tc>
        <w:tc>
          <w:tcPr>
            <w:tcW w:w="198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ascii="宋体"/>
                <w:kern w:val="0"/>
                <w:sz w:val="24"/>
                <w:szCs w:val="24"/>
              </w:rPr>
              <w:t>0.00</w:t>
            </w: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kern w:val="0"/>
              </w:rPr>
              <w:t>2100502</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kern w:val="0"/>
              </w:rPr>
              <w:t>事业单位医疗</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2.61</w:t>
            </w:r>
          </w:p>
        </w:tc>
        <w:tc>
          <w:tcPr>
            <w:tcW w:w="198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2.61</w:t>
            </w: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b/>
                <w:bCs/>
                <w:kern w:val="0"/>
              </w:rPr>
              <w:t>21</w:t>
            </w:r>
            <w:r>
              <w:rPr>
                <w:rFonts w:hint="eastAsia" w:ascii="宋体" w:hAnsi="宋体"/>
                <w:b/>
                <w:bCs/>
                <w:kern w:val="0"/>
              </w:rPr>
              <w:t>3</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b/>
                <w:bCs/>
                <w:kern w:val="0"/>
              </w:rPr>
              <w:t xml:space="preserve"> </w:t>
            </w:r>
            <w:r>
              <w:rPr>
                <w:rFonts w:hint="eastAsia" w:ascii="宋体" w:hAnsi="宋体"/>
                <w:b/>
                <w:bCs/>
                <w:kern w:val="0"/>
              </w:rPr>
              <w:t>农林水支出</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b/>
                <w:bCs/>
                <w:kern w:val="0"/>
              </w:rPr>
              <w:t>92.81</w:t>
            </w:r>
          </w:p>
        </w:tc>
        <w:tc>
          <w:tcPr>
            <w:tcW w:w="198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b/>
                <w:bCs/>
                <w:kern w:val="0"/>
              </w:rPr>
              <w:t>92.81</w:t>
            </w: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b/>
                <w:bCs/>
                <w:kern w:val="0"/>
              </w:rPr>
              <w:t>21</w:t>
            </w:r>
            <w:r>
              <w:rPr>
                <w:rFonts w:hint="eastAsia" w:ascii="宋体" w:hAnsi="宋体"/>
                <w:b/>
                <w:bCs/>
                <w:kern w:val="0"/>
              </w:rPr>
              <w:t>303</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b/>
                <w:bCs/>
                <w:kern w:val="0"/>
              </w:rPr>
              <w:t xml:space="preserve"> </w:t>
            </w:r>
            <w:r>
              <w:rPr>
                <w:rFonts w:hint="eastAsia" w:ascii="宋体" w:hAnsi="宋体"/>
                <w:b/>
                <w:bCs/>
                <w:kern w:val="0"/>
              </w:rPr>
              <w:t>水利</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92.81</w:t>
            </w:r>
            <w:r>
              <w:rPr>
                <w:rFonts w:ascii="宋体" w:hAnsi="宋体"/>
                <w:b/>
                <w:bCs/>
                <w:kern w:val="0"/>
              </w:rPr>
              <w:t xml:space="preserve"> </w:t>
            </w:r>
          </w:p>
        </w:tc>
        <w:tc>
          <w:tcPr>
            <w:tcW w:w="198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b/>
                <w:bCs/>
                <w:kern w:val="0"/>
              </w:rPr>
              <w:t>92.81</w:t>
            </w:r>
            <w:r>
              <w:rPr>
                <w:rFonts w:ascii="宋体" w:hAnsi="宋体"/>
                <w:b/>
                <w:bCs/>
                <w:kern w:val="0"/>
              </w:rPr>
              <w:t xml:space="preserve"> </w:t>
            </w: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r>
              <w:rPr>
                <w:rFonts w:ascii="宋体" w:hAnsi="宋体"/>
                <w:kern w:val="0"/>
              </w:rPr>
              <w:t>21</w:t>
            </w:r>
            <w:r>
              <w:rPr>
                <w:rFonts w:hint="eastAsia" w:ascii="宋体" w:hAnsi="宋体"/>
                <w:kern w:val="0"/>
              </w:rPr>
              <w:t>30399</w:t>
            </w:r>
          </w:p>
        </w:tc>
        <w:tc>
          <w:tcPr>
            <w:tcW w:w="187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kern w:val="0"/>
              </w:rPr>
              <w:t>其他水利支出</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92.81</w:t>
            </w:r>
            <w:r>
              <w:rPr>
                <w:rFonts w:ascii="宋体" w:hAnsi="宋体"/>
                <w:kern w:val="0"/>
              </w:rPr>
              <w:t xml:space="preserve"> </w:t>
            </w:r>
          </w:p>
        </w:tc>
        <w:tc>
          <w:tcPr>
            <w:tcW w:w="198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kern w:val="0"/>
              </w:rPr>
              <w:t>92.81</w:t>
            </w:r>
            <w:r>
              <w:rPr>
                <w:rFonts w:ascii="宋体" w:hAnsi="宋体"/>
                <w:kern w:val="0"/>
              </w:rPr>
              <w:t xml:space="preserve"> </w:t>
            </w:r>
          </w:p>
        </w:tc>
        <w:tc>
          <w:tcPr>
            <w:tcW w:w="1985"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1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872"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85"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8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85"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注：本表反映部门本年度一般公共预算财政拨款实际支出情况。有关填表说明：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（5）该表数据来源于部门决算报表中的《一般公共预算财政拨款收入支出决算表》（财决07表）和《项目收入支出决算表》（财决06表）。</w:t>
      </w:r>
    </w:p>
    <w:p>
      <w:pPr>
        <w:spacing w:line="288" w:lineRule="auto"/>
        <w:ind w:firstLine="643" w:firstLineChars="200"/>
        <w:rPr>
          <w:rFonts w:ascii="仿宋_GB2312" w:eastAsia="仿宋_GB2312"/>
          <w:b/>
          <w:sz w:val="32"/>
          <w:szCs w:val="32"/>
        </w:rPr>
      </w:pPr>
    </w:p>
    <w:p>
      <w:pPr>
        <w:spacing w:line="288" w:lineRule="auto"/>
        <w:ind w:firstLine="640"/>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一般公共预算财政拨款基本支出决算表</w:t>
      </w:r>
    </w:p>
    <w:p>
      <w:pPr>
        <w:spacing w:line="288" w:lineRule="auto"/>
        <w:ind w:firstLine="400"/>
        <w:jc w:val="right"/>
        <w:rPr>
          <w:rFonts w:ascii="宋体" w:hAnsi="宋体" w:cs="宋体"/>
          <w:color w:val="000000"/>
          <w:kern w:val="0"/>
          <w:sz w:val="20"/>
          <w:szCs w:val="20"/>
        </w:rPr>
      </w:pPr>
      <w:r>
        <w:rPr>
          <w:rFonts w:hint="eastAsia" w:ascii="宋体" w:hAnsi="宋体" w:cs="宋体"/>
          <w:color w:val="000000"/>
          <w:kern w:val="0"/>
          <w:sz w:val="20"/>
          <w:szCs w:val="20"/>
        </w:rPr>
        <w:t>公开06表</w:t>
      </w:r>
    </w:p>
    <w:p>
      <w:pPr>
        <w:spacing w:line="288" w:lineRule="auto"/>
        <w:ind w:firstLine="400"/>
        <w:jc w:val="left"/>
        <w:rPr>
          <w:rFonts w:ascii="宋体" w:hAnsi="宋体" w:cs="宋体"/>
          <w:color w:val="000000"/>
          <w:kern w:val="0"/>
          <w:sz w:val="20"/>
          <w:szCs w:val="20"/>
        </w:rPr>
      </w:pPr>
      <w:r>
        <w:rPr>
          <w:rFonts w:hint="eastAsia" w:ascii="宋体" w:hAnsi="宋体" w:cs="宋体"/>
          <w:color w:val="000000"/>
          <w:kern w:val="0"/>
          <w:sz w:val="20"/>
          <w:szCs w:val="20"/>
        </w:rPr>
        <w:t>部门：                                                                        单位：万元</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410"/>
        <w:gridCol w:w="886"/>
        <w:gridCol w:w="1240"/>
        <w:gridCol w:w="1021"/>
        <w:gridCol w:w="138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4537" w:type="dxa"/>
            <w:gridSpan w:val="3"/>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人员经费</w:t>
            </w:r>
          </w:p>
        </w:tc>
        <w:tc>
          <w:tcPr>
            <w:tcW w:w="4523" w:type="dxa"/>
            <w:gridSpan w:val="4"/>
            <w:vAlign w:val="center"/>
          </w:tcPr>
          <w:p>
            <w:pPr>
              <w:widowControl/>
              <w:jc w:val="center"/>
              <w:rPr>
                <w:rFonts w:ascii="宋体" w:hAnsi="宋体" w:cs="宋体"/>
                <w:color w:val="000000"/>
                <w:kern w:val="0"/>
                <w:sz w:val="24"/>
              </w:rPr>
            </w:pPr>
            <w:r>
              <w:rPr>
                <w:rFonts w:hint="eastAsia" w:ascii="宋体" w:hAnsi="宋体" w:cs="宋体"/>
                <w:color w:val="000000"/>
                <w:kern w:val="0"/>
                <w:sz w:val="24"/>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1241"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经济分类</w:t>
            </w:r>
            <w:r>
              <w:rPr>
                <w:rFonts w:ascii="宋体" w:hAnsi="宋体" w:cs="宋体"/>
                <w:color w:val="000000"/>
                <w:kern w:val="0"/>
                <w:sz w:val="24"/>
              </w:rPr>
              <w:br w:type="textWrapping"/>
            </w:r>
            <w:r>
              <w:rPr>
                <w:rFonts w:hint="eastAsia" w:ascii="宋体" w:hAnsi="宋体" w:cs="宋体"/>
                <w:color w:val="000000"/>
                <w:kern w:val="0"/>
                <w:sz w:val="24"/>
              </w:rPr>
              <w:t>科目编码</w:t>
            </w:r>
          </w:p>
        </w:tc>
        <w:tc>
          <w:tcPr>
            <w:tcW w:w="2410"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科目名称</w:t>
            </w:r>
          </w:p>
        </w:tc>
        <w:tc>
          <w:tcPr>
            <w:tcW w:w="886"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金额</w:t>
            </w:r>
          </w:p>
        </w:tc>
        <w:tc>
          <w:tcPr>
            <w:tcW w:w="1240"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经济分类</w:t>
            </w:r>
            <w:r>
              <w:rPr>
                <w:rFonts w:ascii="宋体" w:hAnsi="宋体" w:cs="宋体"/>
                <w:color w:val="000000"/>
                <w:kern w:val="0"/>
                <w:sz w:val="24"/>
              </w:rPr>
              <w:br w:type="textWrapping"/>
            </w:r>
            <w:r>
              <w:rPr>
                <w:rFonts w:hint="eastAsia" w:ascii="宋体" w:hAnsi="宋体" w:cs="宋体"/>
                <w:color w:val="000000"/>
                <w:kern w:val="0"/>
                <w:sz w:val="24"/>
              </w:rPr>
              <w:t>科目编码</w:t>
            </w:r>
          </w:p>
        </w:tc>
        <w:tc>
          <w:tcPr>
            <w:tcW w:w="2410" w:type="dxa"/>
            <w:gridSpan w:val="2"/>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科目名称</w:t>
            </w:r>
          </w:p>
        </w:tc>
        <w:tc>
          <w:tcPr>
            <w:tcW w:w="873" w:type="dxa"/>
            <w:vMerge w:val="restart"/>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1" w:type="dxa"/>
            <w:vMerge w:val="continue"/>
            <w:vAlign w:val="center"/>
          </w:tcPr>
          <w:p>
            <w:pPr>
              <w:widowControl/>
              <w:jc w:val="left"/>
              <w:rPr>
                <w:rFonts w:ascii="仿宋" w:hAnsi="仿宋" w:eastAsia="仿宋" w:cs="宋体"/>
                <w:color w:val="000000"/>
                <w:kern w:val="0"/>
                <w:sz w:val="24"/>
              </w:rPr>
            </w:pPr>
          </w:p>
        </w:tc>
        <w:tc>
          <w:tcPr>
            <w:tcW w:w="2410" w:type="dxa"/>
            <w:vMerge w:val="continue"/>
            <w:vAlign w:val="center"/>
          </w:tcPr>
          <w:p>
            <w:pPr>
              <w:widowControl/>
              <w:jc w:val="left"/>
              <w:rPr>
                <w:rFonts w:ascii="仿宋" w:hAnsi="仿宋" w:eastAsia="仿宋" w:cs="宋体"/>
                <w:color w:val="000000"/>
                <w:kern w:val="0"/>
                <w:sz w:val="24"/>
              </w:rPr>
            </w:pPr>
          </w:p>
        </w:tc>
        <w:tc>
          <w:tcPr>
            <w:tcW w:w="886" w:type="dxa"/>
            <w:vMerge w:val="continue"/>
            <w:vAlign w:val="center"/>
          </w:tcPr>
          <w:p>
            <w:pPr>
              <w:widowControl/>
              <w:jc w:val="left"/>
              <w:rPr>
                <w:rFonts w:ascii="仿宋" w:hAnsi="仿宋" w:eastAsia="仿宋" w:cs="宋体"/>
                <w:color w:val="000000"/>
                <w:kern w:val="0"/>
                <w:sz w:val="24"/>
              </w:rPr>
            </w:pPr>
          </w:p>
        </w:tc>
        <w:tc>
          <w:tcPr>
            <w:tcW w:w="1240" w:type="dxa"/>
            <w:vMerge w:val="continue"/>
            <w:vAlign w:val="center"/>
          </w:tcPr>
          <w:p>
            <w:pPr>
              <w:widowControl/>
              <w:jc w:val="left"/>
              <w:rPr>
                <w:rFonts w:ascii="仿宋" w:hAnsi="仿宋" w:eastAsia="仿宋" w:cs="宋体"/>
                <w:color w:val="000000"/>
                <w:kern w:val="0"/>
                <w:sz w:val="24"/>
              </w:rPr>
            </w:pPr>
          </w:p>
        </w:tc>
        <w:tc>
          <w:tcPr>
            <w:tcW w:w="2410" w:type="dxa"/>
            <w:gridSpan w:val="2"/>
            <w:vMerge w:val="continue"/>
            <w:vAlign w:val="center"/>
          </w:tcPr>
          <w:p>
            <w:pPr>
              <w:widowControl/>
              <w:jc w:val="left"/>
              <w:rPr>
                <w:rFonts w:ascii="仿宋" w:hAnsi="仿宋" w:eastAsia="仿宋" w:cs="宋体"/>
                <w:color w:val="000000"/>
                <w:kern w:val="0"/>
                <w:sz w:val="24"/>
              </w:rPr>
            </w:pPr>
          </w:p>
        </w:tc>
        <w:tc>
          <w:tcPr>
            <w:tcW w:w="873"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工资福利支出</w:t>
            </w:r>
          </w:p>
        </w:tc>
        <w:tc>
          <w:tcPr>
            <w:tcW w:w="886"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80.96</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商品和服务支出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30101</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基本工资</w:t>
            </w:r>
          </w:p>
        </w:tc>
        <w:tc>
          <w:tcPr>
            <w:tcW w:w="886"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24.09</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办公费</w:t>
            </w:r>
          </w:p>
        </w:tc>
        <w:tc>
          <w:tcPr>
            <w:tcW w:w="873"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1.75</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30102</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津贴补贴</w:t>
            </w:r>
          </w:p>
        </w:tc>
        <w:tc>
          <w:tcPr>
            <w:tcW w:w="886"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45.16</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印刷费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30103</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奖金</w:t>
            </w:r>
          </w:p>
        </w:tc>
        <w:tc>
          <w:tcPr>
            <w:tcW w:w="886"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3.10</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咨询费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30104</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其他社会保障缴费</w:t>
            </w:r>
          </w:p>
        </w:tc>
        <w:tc>
          <w:tcPr>
            <w:tcW w:w="886"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8.61</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30204</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手续费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30106</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伙食补助费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水费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30107</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绩效工资</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电费</w:t>
            </w:r>
          </w:p>
        </w:tc>
        <w:tc>
          <w:tcPr>
            <w:tcW w:w="873"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0.63</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30108</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机关事业单位基本养老保险缴费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邮电费</w:t>
            </w:r>
          </w:p>
        </w:tc>
        <w:tc>
          <w:tcPr>
            <w:tcW w:w="873"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0.38</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30109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职业年金缴费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取暖费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30199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其他工资福利支出</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30209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物业管理费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对个人和家庭的补助</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差旅费</w:t>
            </w:r>
          </w:p>
        </w:tc>
        <w:tc>
          <w:tcPr>
            <w:tcW w:w="873"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1.27</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30301</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离休费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因公出国（境）费用</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30302</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退休费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维修(护)费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30303</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退职（役）费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30214</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租赁费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30304</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抚恤金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会议费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30305</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生活补助</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培训费</w:t>
            </w:r>
          </w:p>
        </w:tc>
        <w:tc>
          <w:tcPr>
            <w:tcW w:w="873" w:type="dxa"/>
            <w:vAlign w:val="center"/>
          </w:tcPr>
          <w:p>
            <w:pPr>
              <w:widowControl/>
              <w:jc w:val="right"/>
              <w:rPr>
                <w:rFonts w:ascii="仿宋" w:hAnsi="仿宋" w:eastAsia="仿宋" w:cs="Arial"/>
                <w:color w:val="000000"/>
                <w:kern w:val="0"/>
                <w:sz w:val="24"/>
              </w:rPr>
            </w:pPr>
            <w:r>
              <w:rPr>
                <w:rFonts w:hint="eastAsia" w:ascii="宋体" w:hAnsi="宋体"/>
                <w:kern w:val="0"/>
                <w:sz w:val="24"/>
                <w:szCs w:val="24"/>
              </w:rPr>
              <w:t>0.71</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30306</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救济费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公务接待费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30307</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医疗费</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lang w:val="en-US" w:eastAsia="zh-CN"/>
              </w:rPr>
              <w:t>2.61</w:t>
            </w: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30218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专用材料费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30308</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助学金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30224</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被装购置费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30309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奖励金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专用燃料费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30310</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生产补贴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劳务费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30311</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住房公积金</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委托业务费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30312</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提租补贴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工会经费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30313</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购房补贴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30229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福利费</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30314</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采暖补贴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30231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公务用车运行维护费</w:t>
            </w:r>
          </w:p>
        </w:tc>
        <w:tc>
          <w:tcPr>
            <w:tcW w:w="873" w:type="dxa"/>
            <w:vAlign w:val="center"/>
          </w:tcPr>
          <w:p>
            <w:pPr>
              <w:widowControl/>
              <w:jc w:val="right"/>
              <w:rPr>
                <w:rFonts w:ascii="仿宋" w:hAnsi="仿宋" w:eastAsia="仿宋" w:cs="Arial"/>
                <w:color w:val="000000"/>
                <w:kern w:val="0"/>
                <w:sz w:val="24"/>
              </w:rPr>
            </w:pPr>
            <w:r>
              <w:rPr>
                <w:rFonts w:ascii="宋体" w:hAnsi="宋体"/>
                <w:kern w:val="0"/>
                <w:sz w:val="24"/>
                <w:szCs w:val="24"/>
              </w:rPr>
              <w:t>3.00</w:t>
            </w: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30315</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物业服务补贴</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30239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其他交通费用</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30399</w:t>
            </w:r>
          </w:p>
        </w:tc>
        <w:tc>
          <w:tcPr>
            <w:tcW w:w="241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其他对个人和家庭的补助支出</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30240</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税金及附加费用</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30299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其他商品和服务支出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其他资本性支出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房屋建筑物购建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办公设备购置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专用设备购置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31005</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基础设施建设</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大型修缮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信息网络及软件购置更新</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31008</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物资储备</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31009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土地补偿</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31010</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安置补助</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地上附着物和青苗补偿</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拆迁补偿</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公务用车购置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31019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其他交通工具购置</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31020</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产权参股</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31099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其他资本性支出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对企事业单位的补贴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企业政策性补贴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30402</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事业单位补贴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30403</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财政贴息</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30499</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其他对企事业单位的补贴</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307</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债务利息支出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30701</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国内债务付息</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30707</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国外债务付息</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399</w:t>
            </w:r>
          </w:p>
        </w:tc>
        <w:tc>
          <w:tcPr>
            <w:tcW w:w="2410" w:type="dxa"/>
            <w:gridSpan w:val="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其他支出</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241"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241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6"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c>
          <w:tcPr>
            <w:tcW w:w="1240" w:type="dxa"/>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39906</w:t>
            </w:r>
          </w:p>
        </w:tc>
        <w:tc>
          <w:tcPr>
            <w:tcW w:w="2410" w:type="dxa"/>
            <w:gridSpan w:val="2"/>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 xml:space="preserve">  赠与</w:t>
            </w:r>
          </w:p>
        </w:tc>
        <w:tc>
          <w:tcPr>
            <w:tcW w:w="873" w:type="dxa"/>
            <w:vAlign w:val="center"/>
          </w:tcPr>
          <w:p>
            <w:pPr>
              <w:widowControl/>
              <w:jc w:val="right"/>
              <w:rPr>
                <w:rFonts w:ascii="仿宋" w:hAnsi="仿宋" w:eastAsia="仿宋" w:cs="Arial"/>
                <w:color w:val="000000"/>
                <w:kern w:val="0"/>
                <w:sz w:val="24"/>
              </w:rPr>
            </w:pPr>
            <w:r>
              <w:rPr>
                <w:rFonts w:hint="eastAsia" w:ascii="仿宋" w:hAnsi="仿宋" w:eastAsia="仿宋" w:cs="Arial"/>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651" w:type="dxa"/>
            <w:gridSpan w:val="2"/>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人员经费合计</w:t>
            </w:r>
          </w:p>
        </w:tc>
        <w:tc>
          <w:tcPr>
            <w:tcW w:w="886" w:type="dxa"/>
            <w:vAlign w:val="center"/>
          </w:tcPr>
          <w:p>
            <w:pPr>
              <w:widowControl/>
              <w:jc w:val="right"/>
              <w:rPr>
                <w:rFonts w:ascii="宋体" w:hAnsi="宋体" w:cs="Arial"/>
                <w:color w:val="000000"/>
                <w:kern w:val="0"/>
                <w:sz w:val="24"/>
              </w:rPr>
            </w:pPr>
            <w:r>
              <w:rPr>
                <w:rFonts w:hint="eastAsia" w:ascii="宋体" w:hAnsi="宋体"/>
                <w:kern w:val="0"/>
                <w:sz w:val="24"/>
                <w:szCs w:val="24"/>
              </w:rPr>
              <w:t>83.57</w:t>
            </w:r>
            <w:r>
              <w:rPr>
                <w:rFonts w:hint="eastAsia" w:ascii="宋体" w:hAnsi="宋体" w:cs="Arial"/>
                <w:color w:val="000000"/>
                <w:kern w:val="0"/>
                <w:sz w:val="24"/>
              </w:rPr>
              <w:t>　</w:t>
            </w:r>
          </w:p>
        </w:tc>
        <w:tc>
          <w:tcPr>
            <w:tcW w:w="2261" w:type="dxa"/>
            <w:gridSpan w:val="2"/>
            <w:vAlign w:val="center"/>
          </w:tcPr>
          <w:p>
            <w:pPr>
              <w:widowControl/>
              <w:jc w:val="center"/>
              <w:rPr>
                <w:rFonts w:ascii="宋体" w:hAnsi="宋体" w:cs="宋体"/>
                <w:color w:val="000000"/>
                <w:kern w:val="0"/>
                <w:sz w:val="24"/>
              </w:rPr>
            </w:pPr>
            <w:r>
              <w:rPr>
                <w:rFonts w:hint="eastAsia" w:ascii="宋体" w:hAnsi="宋体" w:cs="宋体"/>
                <w:color w:val="000000"/>
                <w:kern w:val="0"/>
                <w:sz w:val="24"/>
              </w:rPr>
              <w:t>公用经费合计</w:t>
            </w:r>
          </w:p>
        </w:tc>
        <w:tc>
          <w:tcPr>
            <w:tcW w:w="2262" w:type="dxa"/>
            <w:gridSpan w:val="2"/>
            <w:vAlign w:val="center"/>
          </w:tcPr>
          <w:p>
            <w:pPr>
              <w:widowControl/>
              <w:jc w:val="center"/>
              <w:rPr>
                <w:rFonts w:hint="eastAsia" w:ascii="宋体" w:hAnsi="宋体" w:cs="宋体"/>
                <w:color w:val="000000"/>
                <w:kern w:val="0"/>
                <w:sz w:val="24"/>
              </w:rPr>
            </w:pPr>
            <w:r>
              <w:rPr>
                <w:rFonts w:hint="eastAsia" w:ascii="宋体" w:hAnsi="宋体"/>
                <w:kern w:val="0"/>
                <w:sz w:val="24"/>
                <w:szCs w:val="24"/>
              </w:rPr>
              <w:t>11.85</w:t>
            </w:r>
          </w:p>
        </w:tc>
      </w:tr>
    </w:tbl>
    <w:p>
      <w:pPr>
        <w:snapToGrid w:val="0"/>
        <w:spacing w:line="336" w:lineRule="auto"/>
        <w:rPr>
          <w:rFonts w:ascii="仿宋_GB2312" w:eastAsia="仿宋_GB2312"/>
          <w:sz w:val="28"/>
          <w:szCs w:val="28"/>
        </w:rPr>
      </w:pPr>
      <w:r>
        <w:rPr>
          <w:rFonts w:hint="eastAsia" w:ascii="仿宋_GB2312" w:eastAsia="仿宋_GB2312"/>
          <w:sz w:val="28"/>
          <w:szCs w:val="28"/>
        </w:rPr>
        <w:t>注：本表反映部门本年度一般公共预算财政拨款基本支出明细情况。有关填表说明：</w:t>
      </w:r>
    </w:p>
    <w:p>
      <w:pPr>
        <w:snapToGrid w:val="0"/>
        <w:spacing w:line="336" w:lineRule="auto"/>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napToGrid w:val="0"/>
        <w:spacing w:line="336" w:lineRule="auto"/>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本表经济分类科目填列到款级支出科目，没有发生数的支出科目不用填列。</w:t>
      </w:r>
    </w:p>
    <w:p>
      <w:pPr>
        <w:snapToGrid w:val="0"/>
        <w:spacing w:line="336" w:lineRule="auto"/>
        <w:ind w:firstLine="523" w:firstLineChars="187"/>
        <w:rPr>
          <w:rFonts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此表没有发生数据的，在合计行填“0”，并在该表下方附简要说明。</w:t>
      </w:r>
    </w:p>
    <w:p>
      <w:pPr>
        <w:snapToGrid w:val="0"/>
        <w:spacing w:line="336" w:lineRule="auto"/>
        <w:ind w:firstLine="560" w:firstLineChars="200"/>
        <w:rPr>
          <w:rFonts w:ascii="仿宋_GB2312" w:eastAsia="仿宋_GB2312"/>
          <w:sz w:val="28"/>
          <w:szCs w:val="28"/>
        </w:rPr>
      </w:pPr>
      <w:r>
        <w:rPr>
          <w:rFonts w:hint="eastAsia" w:ascii="仿宋_GB2312" w:eastAsia="仿宋_GB2312"/>
          <w:sz w:val="28"/>
          <w:szCs w:val="28"/>
        </w:rPr>
        <w:t>（4）该表数据来源于部门决算报表中的《一般公共预算财政拨款基本支出决算明细表》（财决08-1表）。</w:t>
      </w:r>
    </w:p>
    <w:p>
      <w:pPr>
        <w:spacing w:line="288" w:lineRule="auto"/>
        <w:rPr>
          <w:rFonts w:ascii="仿宋_GB2312" w:eastAsia="仿宋_GB2312"/>
          <w:b/>
          <w:sz w:val="32"/>
          <w:szCs w:val="32"/>
        </w:rPr>
      </w:pPr>
    </w:p>
    <w:tbl>
      <w:tblPr>
        <w:tblStyle w:val="7"/>
        <w:tblW w:w="9215" w:type="dxa"/>
        <w:tblInd w:w="-176" w:type="dxa"/>
        <w:tblLayout w:type="fixed"/>
        <w:tblCellMar>
          <w:top w:w="0" w:type="dxa"/>
          <w:left w:w="108" w:type="dxa"/>
          <w:bottom w:w="0" w:type="dxa"/>
          <w:right w:w="108" w:type="dxa"/>
        </w:tblCellMar>
      </w:tblPr>
      <w:tblGrid>
        <w:gridCol w:w="269"/>
        <w:gridCol w:w="532"/>
        <w:gridCol w:w="151"/>
        <w:gridCol w:w="373"/>
        <w:gridCol w:w="353"/>
        <w:gridCol w:w="605"/>
        <w:gridCol w:w="709"/>
        <w:gridCol w:w="127"/>
        <w:gridCol w:w="704"/>
        <w:gridCol w:w="289"/>
        <w:gridCol w:w="515"/>
        <w:gridCol w:w="529"/>
        <w:gridCol w:w="81"/>
        <w:gridCol w:w="886"/>
        <w:gridCol w:w="32"/>
        <w:gridCol w:w="645"/>
        <w:gridCol w:w="155"/>
        <w:gridCol w:w="663"/>
        <w:gridCol w:w="305"/>
        <w:gridCol w:w="436"/>
        <w:gridCol w:w="698"/>
        <w:gridCol w:w="158"/>
      </w:tblGrid>
      <w:tr>
        <w:tblPrEx>
          <w:tblLayout w:type="fixed"/>
          <w:tblCellMar>
            <w:top w:w="0" w:type="dxa"/>
            <w:left w:w="108" w:type="dxa"/>
            <w:bottom w:w="0" w:type="dxa"/>
            <w:right w:w="108" w:type="dxa"/>
          </w:tblCellMar>
        </w:tblPrEx>
        <w:trPr>
          <w:trHeight w:val="600" w:hRule="atLeast"/>
        </w:trPr>
        <w:tc>
          <w:tcPr>
            <w:tcW w:w="9215" w:type="dxa"/>
            <w:gridSpan w:val="22"/>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一般公共预算财政拨款“三公”经费支出决算表</w:t>
            </w:r>
          </w:p>
        </w:tc>
      </w:tr>
      <w:tr>
        <w:tblPrEx>
          <w:tblLayout w:type="fixed"/>
          <w:tblCellMar>
            <w:top w:w="0" w:type="dxa"/>
            <w:left w:w="108" w:type="dxa"/>
            <w:bottom w:w="0" w:type="dxa"/>
            <w:right w:w="108" w:type="dxa"/>
          </w:tblCellMar>
        </w:tblPrEx>
        <w:trPr>
          <w:gridBefore w:val="1"/>
          <w:gridAfter w:val="1"/>
          <w:wBefore w:w="269" w:type="dxa"/>
          <w:wAfter w:w="158" w:type="dxa"/>
          <w:trHeight w:val="222" w:hRule="atLeast"/>
        </w:trPr>
        <w:tc>
          <w:tcPr>
            <w:tcW w:w="683" w:type="dxa"/>
            <w:gridSpan w:val="2"/>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94" w:type="dxa"/>
            <w:gridSpan w:val="4"/>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gridSpan w:val="3"/>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gridSpan w:val="2"/>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Layout w:type="fixed"/>
          <w:tblCellMar>
            <w:top w:w="0" w:type="dxa"/>
            <w:left w:w="108" w:type="dxa"/>
            <w:bottom w:w="0" w:type="dxa"/>
            <w:right w:w="108" w:type="dxa"/>
          </w:tblCellMar>
        </w:tblPrEx>
        <w:trPr>
          <w:gridBefore w:val="1"/>
          <w:gridAfter w:val="1"/>
          <w:wBefore w:w="269" w:type="dxa"/>
          <w:wAfter w:w="158" w:type="dxa"/>
          <w:trHeight w:val="300" w:hRule="atLeast"/>
        </w:trPr>
        <w:tc>
          <w:tcPr>
            <w:tcW w:w="1056" w:type="dxa"/>
            <w:gridSpan w:val="3"/>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787" w:type="dxa"/>
            <w:gridSpan w:val="6"/>
            <w:tcBorders>
              <w:right w:val="nil"/>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lang w:eastAsia="zh-CN"/>
              </w:rPr>
              <w:t>大埔县移民工作局</w:t>
            </w:r>
            <w:r>
              <w:rPr>
                <w:rFonts w:hint="eastAsia" w:ascii="宋体" w:hAnsi="宋体" w:cs="宋体"/>
                <w:kern w:val="0"/>
                <w:sz w:val="20"/>
                <w:szCs w:val="20"/>
              </w:rPr>
              <w:t>　</w:t>
            </w:r>
          </w:p>
        </w:tc>
        <w:tc>
          <w:tcPr>
            <w:tcW w:w="1044"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gridSpan w:val="3"/>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gridSpan w:val="2"/>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559" w:hRule="atLeast"/>
        </w:trPr>
        <w:tc>
          <w:tcPr>
            <w:tcW w:w="4627" w:type="dxa"/>
            <w:gridSpan w:val="11"/>
            <w:tcBorders>
              <w:top w:val="single" w:color="auto" w:sz="8"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2015</w:t>
            </w:r>
            <w:r>
              <w:rPr>
                <w:rFonts w:hint="eastAsia" w:ascii="宋体" w:hAnsi="宋体" w:cs="宋体"/>
                <w:kern w:val="0"/>
                <w:sz w:val="22"/>
                <w:szCs w:val="22"/>
              </w:rPr>
              <w:t>年度预算数</w:t>
            </w:r>
          </w:p>
        </w:tc>
        <w:tc>
          <w:tcPr>
            <w:tcW w:w="4588" w:type="dxa"/>
            <w:gridSpan w:val="11"/>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2015</w:t>
            </w:r>
            <w:r>
              <w:rPr>
                <w:rFonts w:hint="eastAsia" w:ascii="宋体" w:hAnsi="宋体" w:cs="宋体"/>
                <w:kern w:val="0"/>
                <w:sz w:val="22"/>
                <w:szCs w:val="22"/>
              </w:rPr>
              <w:t>年度决算数</w:t>
            </w:r>
          </w:p>
        </w:tc>
      </w:tr>
      <w:tr>
        <w:tblPrEx>
          <w:tblLayout w:type="fixed"/>
          <w:tblCellMar>
            <w:top w:w="0" w:type="dxa"/>
            <w:left w:w="108" w:type="dxa"/>
            <w:bottom w:w="0" w:type="dxa"/>
            <w:right w:w="108" w:type="dxa"/>
          </w:tblCellMar>
        </w:tblPrEx>
        <w:trPr>
          <w:trHeight w:val="600" w:hRule="atLeast"/>
        </w:trPr>
        <w:tc>
          <w:tcPr>
            <w:tcW w:w="801" w:type="dxa"/>
            <w:gridSpan w:val="2"/>
            <w:vMerge w:val="restart"/>
            <w:tcBorders>
              <w:top w:val="nil"/>
              <w:left w:val="single" w:color="auto" w:sz="8"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877"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145"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8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610"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91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204"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856" w:type="dxa"/>
            <w:gridSpan w:val="2"/>
            <w:vMerge w:val="restart"/>
            <w:tcBorders>
              <w:top w:val="nil"/>
              <w:left w:val="single" w:color="auto" w:sz="4" w:space="0"/>
              <w:bottom w:val="single" w:color="000000"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600" w:hRule="atLeast"/>
        </w:trPr>
        <w:tc>
          <w:tcPr>
            <w:tcW w:w="801"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8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60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8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610"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22"/>
                <w:szCs w:val="22"/>
              </w:rPr>
            </w:pPr>
          </w:p>
        </w:tc>
        <w:tc>
          <w:tcPr>
            <w:tcW w:w="9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64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74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856"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59" w:hRule="atLeast"/>
        </w:trPr>
        <w:tc>
          <w:tcPr>
            <w:tcW w:w="801"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7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0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80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61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9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64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74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856"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855" w:hRule="atLeast"/>
        </w:trPr>
        <w:tc>
          <w:tcPr>
            <w:tcW w:w="801" w:type="dxa"/>
            <w:gridSpan w:val="2"/>
            <w:tcBorders>
              <w:top w:val="nil"/>
              <w:left w:val="single" w:color="auto" w:sz="8" w:space="0"/>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877" w:type="dxa"/>
            <w:gridSpan w:val="3"/>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605"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709"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31"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804"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610"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918"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645"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818"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741" w:type="dxa"/>
            <w:gridSpan w:val="2"/>
            <w:tcBorders>
              <w:top w:val="nil"/>
              <w:left w:val="nil"/>
              <w:bottom w:val="single" w:color="auto" w:sz="8"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856" w:type="dxa"/>
            <w:gridSpan w:val="2"/>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注：本表反映部门本年度财政拨款“三公”经费支出情况。有关填表说明：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（1）本表数据填列数据以“万元”为金额单位，保留两位小数。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xx年预算数为“三公”年初预算数，决算数包括当年财政拨款预算和以前年度结转资金安排的实际支出。</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（3）1栏=（2+3+6）栏，3栏=（4+5）栏。7栏=（8+9+12）栏。9栏=（10+11）栏。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（4）“三公”数据合计为零的，在合计栏填列“0”，并在决算情况说明中予以说明。</w:t>
      </w: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tbl>
      <w:tblPr>
        <w:tblStyle w:val="7"/>
        <w:tblW w:w="8788" w:type="dxa"/>
        <w:tblInd w:w="93" w:type="dxa"/>
        <w:tblLayout w:type="fixed"/>
        <w:tblCellMar>
          <w:top w:w="0" w:type="dxa"/>
          <w:left w:w="108" w:type="dxa"/>
          <w:bottom w:w="0" w:type="dxa"/>
          <w:right w:w="108" w:type="dxa"/>
        </w:tblCellMar>
      </w:tblPr>
      <w:tblGrid>
        <w:gridCol w:w="683"/>
        <w:gridCol w:w="373"/>
        <w:gridCol w:w="1794"/>
        <w:gridCol w:w="993"/>
        <w:gridCol w:w="1044"/>
        <w:gridCol w:w="967"/>
        <w:gridCol w:w="832"/>
        <w:gridCol w:w="968"/>
        <w:gridCol w:w="1134"/>
      </w:tblGrid>
      <w:tr>
        <w:tblPrEx>
          <w:tblLayout w:type="fixed"/>
          <w:tblCellMar>
            <w:top w:w="0" w:type="dxa"/>
            <w:left w:w="108" w:type="dxa"/>
            <w:bottom w:w="0" w:type="dxa"/>
            <w:right w:w="108" w:type="dxa"/>
          </w:tblCellMar>
        </w:tblPrEx>
        <w:trPr>
          <w:trHeight w:val="600" w:hRule="atLeast"/>
        </w:trPr>
        <w:tc>
          <w:tcPr>
            <w:tcW w:w="8788" w:type="dxa"/>
            <w:gridSpan w:val="9"/>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政府性基金预算财政拨款收入支出决算表</w:t>
            </w:r>
          </w:p>
        </w:tc>
      </w:tr>
      <w:tr>
        <w:tblPrEx>
          <w:tblLayout w:type="fixed"/>
          <w:tblCellMar>
            <w:top w:w="0" w:type="dxa"/>
            <w:left w:w="108" w:type="dxa"/>
            <w:bottom w:w="0" w:type="dxa"/>
            <w:right w:w="108" w:type="dxa"/>
          </w:tblCellMar>
        </w:tblPrEx>
        <w:trPr>
          <w:trHeight w:val="222" w:hRule="atLeast"/>
        </w:trPr>
        <w:tc>
          <w:tcPr>
            <w:tcW w:w="68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94"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公开08表</w:t>
            </w:r>
          </w:p>
        </w:tc>
      </w:tr>
      <w:tr>
        <w:tblPrEx>
          <w:tblLayout w:type="fixed"/>
          <w:tblCellMar>
            <w:top w:w="0" w:type="dxa"/>
            <w:left w:w="108" w:type="dxa"/>
            <w:bottom w:w="0" w:type="dxa"/>
            <w:right w:w="108" w:type="dxa"/>
          </w:tblCellMar>
        </w:tblPrEx>
        <w:trPr>
          <w:trHeight w:val="300" w:hRule="atLeast"/>
        </w:trPr>
        <w:tc>
          <w:tcPr>
            <w:tcW w:w="1056"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2787" w:type="dxa"/>
            <w:gridSpan w:val="2"/>
            <w:tcBorders>
              <w:right w:val="nil"/>
            </w:tcBorders>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大埔县移民工作局</w:t>
            </w: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2850"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993"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04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2767" w:type="dxa"/>
            <w:gridSpan w:val="3"/>
            <w:tcBorders>
              <w:top w:val="single" w:color="auto" w:sz="8"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11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trPr>
        <w:tc>
          <w:tcPr>
            <w:tcW w:w="105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7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小计</w:t>
            </w:r>
          </w:p>
        </w:tc>
        <w:tc>
          <w:tcPr>
            <w:tcW w:w="83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968"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05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8"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8"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850"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9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83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96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1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2850" w:type="dxa"/>
            <w:gridSpan w:val="3"/>
            <w:tcBorders>
              <w:top w:val="nil"/>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0</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0</w:t>
            </w:r>
          </w:p>
        </w:tc>
        <w:tc>
          <w:tcPr>
            <w:tcW w:w="96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城乡社区支出　</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21209</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城市公用事业附加及对应专项债务收入安排的支出</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2120901</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城市公共设施</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w:t>
            </w:r>
          </w:p>
        </w:tc>
        <w:tc>
          <w:tcPr>
            <w:tcW w:w="179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vAlign w:val="center"/>
          </w:tcPr>
          <w:p>
            <w:pPr>
              <w:widowControl/>
              <w:rPr>
                <w:rFonts w:ascii="宋体" w:hAnsi="宋体" w:cs="宋体"/>
                <w:kern w:val="0"/>
                <w:sz w:val="24"/>
              </w:rPr>
            </w:pPr>
          </w:p>
        </w:tc>
        <w:tc>
          <w:tcPr>
            <w:tcW w:w="179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993"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8"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288" w:lineRule="auto"/>
        <w:rPr>
          <w:rFonts w:ascii="仿宋_GB2312" w:eastAsia="仿宋_GB2312"/>
          <w:sz w:val="28"/>
          <w:szCs w:val="28"/>
        </w:rPr>
      </w:pPr>
      <w:r>
        <w:rPr>
          <w:rFonts w:hint="eastAsia" w:ascii="仿宋_GB2312" w:eastAsia="仿宋_GB2312"/>
          <w:sz w:val="28"/>
          <w:szCs w:val="28"/>
        </w:rPr>
        <w:t>注：本表反映部门本年度政府性基金预算财政拨款收支情况。有关填表说明：</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（1）本表数据填列当年决算数，以“万元”为金额单位，保留两位小数。</w:t>
      </w:r>
    </w:p>
    <w:p>
      <w:pPr>
        <w:spacing w:line="580" w:lineRule="exact"/>
        <w:ind w:firstLine="560" w:firstLineChars="200"/>
        <w:rPr>
          <w:rFonts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本表功能科目填列到项级支出科目，没有发生数的支出科目不用填列。</w:t>
      </w:r>
    </w:p>
    <w:p>
      <w:pPr>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（3）（1+2-3）栏=6栏，3栏=（4+5）栏。</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（4）此表没有发生数据的，在合计行填“0”，并在该表下方附简要说明。</w:t>
      </w:r>
    </w:p>
    <w:p>
      <w:pPr>
        <w:spacing w:line="360" w:lineRule="auto"/>
        <w:ind w:firstLine="523" w:firstLineChars="187"/>
        <w:rPr>
          <w:rFonts w:ascii="仿宋_GB2312" w:eastAsia="仿宋_GB2312"/>
          <w:sz w:val="28"/>
          <w:szCs w:val="28"/>
        </w:rPr>
      </w:pPr>
      <w:r>
        <w:rPr>
          <w:rFonts w:hint="eastAsia" w:ascii="仿宋_GB2312" w:eastAsia="仿宋_GB2312"/>
          <w:sz w:val="28"/>
          <w:szCs w:val="28"/>
        </w:rPr>
        <w:t>（5）该表数据来源于部门决算报表中的《政府性基金预算财政拨款收入支出决算表》（财决09表）和《项目收入支出决算表》（财决06表）。</w:t>
      </w:r>
    </w:p>
    <w:p>
      <w:pPr>
        <w:spacing w:line="288" w:lineRule="auto"/>
        <w:ind w:firstLine="643" w:firstLineChars="200"/>
        <w:rPr>
          <w:rFonts w:ascii="仿宋_GB2312" w:eastAsia="仿宋_GB2312"/>
          <w:b/>
          <w:sz w:val="32"/>
          <w:szCs w:val="32"/>
        </w:rPr>
      </w:pPr>
    </w:p>
    <w:p>
      <w:pPr>
        <w:spacing w:line="288" w:lineRule="auto"/>
        <w:ind w:firstLine="723" w:firstLineChars="200"/>
        <w:outlineLvl w:val="0"/>
        <w:rPr>
          <w:rFonts w:ascii="宋体" w:hAnsi="宋体"/>
          <w:b/>
          <w:sz w:val="36"/>
          <w:szCs w:val="36"/>
        </w:rPr>
      </w:pPr>
      <w:r>
        <w:rPr>
          <w:rFonts w:hint="eastAsia" w:ascii="宋体" w:hAnsi="宋体"/>
          <w:b/>
          <w:sz w:val="36"/>
          <w:szCs w:val="36"/>
        </w:rPr>
        <w:t xml:space="preserve">第三部分  </w:t>
      </w:r>
      <w:r>
        <w:rPr>
          <w:rFonts w:hint="eastAsia" w:ascii="宋体" w:hAnsi="宋体"/>
          <w:b/>
          <w:sz w:val="36"/>
          <w:szCs w:val="36"/>
          <w:lang w:eastAsia="zh-CN"/>
        </w:rPr>
        <w:t>大埔县移民工作局</w:t>
      </w:r>
      <w:r>
        <w:rPr>
          <w:rFonts w:hint="eastAsia" w:ascii="宋体" w:hAnsi="宋体"/>
          <w:b/>
          <w:sz w:val="36"/>
          <w:szCs w:val="36"/>
          <w:lang w:val="en-US" w:eastAsia="zh-CN"/>
        </w:rPr>
        <w:t>2015</w:t>
      </w:r>
      <w:r>
        <w:rPr>
          <w:rFonts w:hint="eastAsia" w:ascii="宋体" w:hAnsi="宋体"/>
          <w:b/>
          <w:sz w:val="36"/>
          <w:szCs w:val="36"/>
        </w:rPr>
        <w:t>年部门决算情况说明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2015</w:t>
      </w:r>
      <w:r>
        <w:rPr>
          <w:rFonts w:hint="eastAsia" w:ascii="仿宋_GB2312" w:eastAsia="仿宋_GB2312"/>
          <w:b/>
          <w:sz w:val="32"/>
          <w:szCs w:val="32"/>
        </w:rPr>
        <w:t>年度收入支出决算总体情况说明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（一）年度收入总体情况</w:t>
      </w:r>
    </w:p>
    <w:p>
      <w:pPr>
        <w:spacing w:line="480" w:lineRule="auto"/>
        <w:ind w:firstLine="480"/>
        <w:rPr>
          <w:rFonts w:ascii="宋体" w:cs="宋体"/>
          <w:kern w:val="0"/>
          <w:sz w:val="24"/>
          <w:szCs w:val="24"/>
        </w:rPr>
      </w:pPr>
      <w:r>
        <w:rPr>
          <w:rFonts w:ascii="宋体" w:hAnsi="宋体" w:cs="宋体"/>
          <w:kern w:val="0"/>
          <w:sz w:val="24"/>
          <w:szCs w:val="24"/>
        </w:rPr>
        <w:t>2015</w:t>
      </w:r>
      <w:r>
        <w:rPr>
          <w:rFonts w:hint="eastAsia" w:ascii="宋体" w:hAnsi="宋体" w:cs="宋体"/>
          <w:kern w:val="0"/>
          <w:sz w:val="24"/>
          <w:szCs w:val="24"/>
        </w:rPr>
        <w:t>年部门决算总收入95.42万元。其中：财政拨款95.42万元，占总收入的10</w:t>
      </w:r>
      <w:r>
        <w:rPr>
          <w:rFonts w:ascii="宋体" w:hAnsi="宋体" w:cs="宋体"/>
          <w:kern w:val="0"/>
          <w:sz w:val="24"/>
          <w:szCs w:val="24"/>
        </w:rPr>
        <w:t>0%</w:t>
      </w:r>
      <w:r>
        <w:rPr>
          <w:rFonts w:hint="eastAsia" w:ascii="宋体" w:hAnsi="宋体" w:cs="宋体"/>
          <w:kern w:val="0"/>
          <w:sz w:val="24"/>
          <w:szCs w:val="24"/>
        </w:rPr>
        <w:t>；事业收入</w:t>
      </w:r>
      <w:r>
        <w:rPr>
          <w:rFonts w:ascii="宋体" w:hAnsi="宋体" w:cs="宋体"/>
          <w:kern w:val="0"/>
          <w:sz w:val="24"/>
          <w:szCs w:val="24"/>
        </w:rPr>
        <w:t xml:space="preserve">0.00 </w:t>
      </w:r>
      <w:r>
        <w:rPr>
          <w:rFonts w:hint="eastAsia" w:ascii="宋体" w:hAnsi="宋体" w:cs="宋体"/>
          <w:kern w:val="0"/>
          <w:sz w:val="24"/>
          <w:szCs w:val="24"/>
        </w:rPr>
        <w:t>万元，占总收入的</w:t>
      </w:r>
      <w:r>
        <w:rPr>
          <w:rFonts w:ascii="宋体" w:hAnsi="宋体" w:cs="宋体"/>
          <w:kern w:val="0"/>
          <w:sz w:val="24"/>
          <w:szCs w:val="24"/>
        </w:rPr>
        <w:t>0%</w:t>
      </w:r>
      <w:r>
        <w:rPr>
          <w:rFonts w:hint="eastAsia" w:ascii="宋体" w:hAnsi="宋体" w:cs="宋体"/>
          <w:kern w:val="0"/>
          <w:sz w:val="24"/>
          <w:szCs w:val="24"/>
        </w:rPr>
        <w:t>；其他收入0万元，占总收入的0</w:t>
      </w:r>
      <w:r>
        <w:rPr>
          <w:rFonts w:ascii="宋体" w:hAnsi="宋体" w:cs="宋体"/>
          <w:kern w:val="0"/>
          <w:sz w:val="24"/>
          <w:szCs w:val="24"/>
        </w:rPr>
        <w:t xml:space="preserve"> %</w:t>
      </w:r>
      <w:r>
        <w:rPr>
          <w:rFonts w:hint="eastAsia" w:ascii="宋体" w:hAnsi="宋体" w:cs="宋体"/>
          <w:kern w:val="0"/>
          <w:sz w:val="24"/>
          <w:szCs w:val="24"/>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（二）年度支出总体情况</w:t>
      </w:r>
    </w:p>
    <w:p>
      <w:pPr>
        <w:spacing w:line="480" w:lineRule="auto"/>
        <w:ind w:firstLine="480"/>
        <w:rPr>
          <w:rFonts w:ascii="宋体" w:cs="宋体"/>
          <w:kern w:val="0"/>
          <w:sz w:val="24"/>
          <w:szCs w:val="24"/>
        </w:rPr>
      </w:pPr>
      <w:r>
        <w:rPr>
          <w:rFonts w:ascii="宋体" w:hAnsi="宋体" w:cs="宋体"/>
          <w:kern w:val="0"/>
          <w:sz w:val="24"/>
          <w:szCs w:val="24"/>
        </w:rPr>
        <w:t>2015</w:t>
      </w:r>
      <w:r>
        <w:rPr>
          <w:rFonts w:hint="eastAsia" w:ascii="宋体" w:hAnsi="宋体" w:cs="宋体"/>
          <w:kern w:val="0"/>
          <w:sz w:val="24"/>
          <w:szCs w:val="24"/>
        </w:rPr>
        <w:t>年部门决算总支出95.42万元。其中：财政拨款支出95.42万元，占总支出的100</w:t>
      </w:r>
      <w:r>
        <w:rPr>
          <w:rFonts w:ascii="宋体" w:hAnsi="宋体" w:cs="宋体"/>
          <w:kern w:val="0"/>
          <w:sz w:val="24"/>
          <w:szCs w:val="24"/>
        </w:rPr>
        <w:t>%</w:t>
      </w:r>
      <w:r>
        <w:rPr>
          <w:rFonts w:hint="eastAsia" w:ascii="宋体" w:hAnsi="宋体" w:cs="宋体"/>
          <w:kern w:val="0"/>
          <w:sz w:val="24"/>
          <w:szCs w:val="24"/>
        </w:rPr>
        <w:t>。其中财政拨款支出中，基本支出95.42万元，占本年财政拨款支出的</w:t>
      </w:r>
      <w:r>
        <w:rPr>
          <w:rFonts w:ascii="宋体" w:hAnsi="宋体" w:cs="宋体"/>
          <w:kern w:val="0"/>
          <w:sz w:val="24"/>
          <w:szCs w:val="24"/>
        </w:rPr>
        <w:t xml:space="preserve"> </w:t>
      </w:r>
      <w:r>
        <w:rPr>
          <w:rFonts w:hint="eastAsia" w:ascii="宋体" w:hAnsi="宋体" w:cs="宋体"/>
          <w:kern w:val="0"/>
          <w:sz w:val="24"/>
          <w:szCs w:val="24"/>
        </w:rPr>
        <w:t>100</w:t>
      </w:r>
      <w:r>
        <w:rPr>
          <w:rFonts w:ascii="宋体" w:hAnsi="宋体" w:cs="宋体"/>
          <w:kern w:val="0"/>
          <w:sz w:val="24"/>
          <w:szCs w:val="24"/>
        </w:rPr>
        <w:t>%</w:t>
      </w:r>
      <w:r>
        <w:rPr>
          <w:rFonts w:hint="eastAsia" w:ascii="宋体" w:hAnsi="宋体" w:cs="宋体"/>
          <w:kern w:val="0"/>
          <w:sz w:val="24"/>
          <w:szCs w:val="24"/>
        </w:rPr>
        <w:t>，其中：工资福利支出80.96万元，对个人和家庭的补助</w:t>
      </w:r>
      <w:r>
        <w:rPr>
          <w:rFonts w:ascii="宋体" w:hAnsi="宋体" w:cs="宋体"/>
          <w:kern w:val="0"/>
          <w:sz w:val="24"/>
          <w:szCs w:val="24"/>
        </w:rPr>
        <w:t>2.</w:t>
      </w:r>
      <w:r>
        <w:rPr>
          <w:rFonts w:hint="eastAsia" w:ascii="宋体" w:hAnsi="宋体" w:cs="宋体"/>
          <w:kern w:val="0"/>
          <w:sz w:val="24"/>
          <w:szCs w:val="24"/>
        </w:rPr>
        <w:t>61万元，商品和服务支出11.85万元。</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2015</w:t>
      </w:r>
      <w:r>
        <w:rPr>
          <w:rFonts w:hint="eastAsia" w:ascii="仿宋_GB2312" w:eastAsia="仿宋_GB2312"/>
          <w:b/>
          <w:sz w:val="32"/>
          <w:szCs w:val="32"/>
        </w:rPr>
        <w:t>年度财政拨款收入支出总表说明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2015</w:t>
      </w:r>
      <w:r>
        <w:rPr>
          <w:rFonts w:hint="eastAsia" w:ascii="仿宋_GB2312" w:eastAsia="仿宋_GB2312"/>
          <w:b/>
          <w:sz w:val="32"/>
          <w:szCs w:val="32"/>
        </w:rPr>
        <w:t>年度财政拨款收入说明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2015</w:t>
      </w:r>
      <w:r>
        <w:rPr>
          <w:rFonts w:hint="eastAsia" w:ascii="仿宋_GB2312" w:eastAsia="仿宋_GB2312"/>
          <w:sz w:val="32"/>
          <w:szCs w:val="32"/>
        </w:rPr>
        <w:t>年度财政拨款收入合计</w:t>
      </w:r>
      <w:r>
        <w:rPr>
          <w:rFonts w:hint="eastAsia" w:ascii="仿宋_GB2312" w:eastAsia="仿宋_GB2312"/>
          <w:sz w:val="32"/>
          <w:szCs w:val="32"/>
          <w:lang w:val="en-US" w:eastAsia="zh-CN"/>
        </w:rPr>
        <w:t>95.42</w:t>
      </w:r>
      <w:r>
        <w:rPr>
          <w:rFonts w:hint="eastAsia" w:ascii="仿宋_GB2312" w:eastAsia="仿宋_GB2312"/>
          <w:sz w:val="32"/>
          <w:szCs w:val="32"/>
        </w:rPr>
        <w:t xml:space="preserve">万元。其中：一般公共预算财政拨款收入 </w:t>
      </w:r>
      <w:r>
        <w:rPr>
          <w:rFonts w:hint="eastAsia" w:ascii="仿宋_GB2312" w:eastAsia="仿宋_GB2312"/>
          <w:sz w:val="32"/>
          <w:szCs w:val="32"/>
          <w:lang w:val="en-US" w:eastAsia="zh-CN"/>
        </w:rPr>
        <w:t>95.42</w:t>
      </w:r>
      <w:r>
        <w:rPr>
          <w:rFonts w:hint="eastAsia" w:ascii="仿宋_GB2312" w:eastAsia="仿宋_GB2312"/>
          <w:sz w:val="32"/>
          <w:szCs w:val="32"/>
        </w:rPr>
        <w:t>万元，</w:t>
      </w:r>
      <w:r>
        <w:rPr>
          <w:rFonts w:hint="eastAsia" w:ascii="仿宋_GB2312" w:eastAsia="仿宋_GB2312"/>
          <w:sz w:val="32"/>
          <w:szCs w:val="32"/>
          <w:lang w:eastAsia="zh-CN"/>
        </w:rPr>
        <w:t>与</w:t>
      </w:r>
      <w:r>
        <w:rPr>
          <w:rFonts w:hint="eastAsia" w:ascii="仿宋_GB2312" w:eastAsia="仿宋_GB2312"/>
          <w:sz w:val="32"/>
          <w:szCs w:val="32"/>
        </w:rPr>
        <w:t>年初预算数</w:t>
      </w:r>
      <w:r>
        <w:rPr>
          <w:rFonts w:hint="eastAsia" w:ascii="仿宋_GB2312" w:eastAsia="仿宋_GB2312"/>
          <w:sz w:val="32"/>
          <w:szCs w:val="32"/>
          <w:lang w:eastAsia="zh-CN"/>
        </w:rPr>
        <w:t>相符。</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2015</w:t>
      </w:r>
      <w:r>
        <w:rPr>
          <w:rFonts w:hint="eastAsia" w:ascii="仿宋_GB2312" w:eastAsia="仿宋_GB2312"/>
          <w:b/>
          <w:sz w:val="32"/>
          <w:szCs w:val="32"/>
        </w:rPr>
        <w:t>年度财政拨款支出说明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2015</w:t>
      </w:r>
      <w:r>
        <w:rPr>
          <w:rFonts w:hint="eastAsia" w:ascii="仿宋_GB2312" w:eastAsia="仿宋_GB2312"/>
          <w:sz w:val="32"/>
          <w:szCs w:val="32"/>
        </w:rPr>
        <w:t>年度财政拨款支出合计</w:t>
      </w:r>
      <w:r>
        <w:rPr>
          <w:rFonts w:hint="eastAsia" w:ascii="仿宋_GB2312" w:eastAsia="仿宋_GB2312"/>
          <w:sz w:val="32"/>
          <w:szCs w:val="32"/>
          <w:lang w:val="en-US" w:eastAsia="zh-CN"/>
        </w:rPr>
        <w:t>95.42</w:t>
      </w:r>
      <w:r>
        <w:rPr>
          <w:rFonts w:hint="eastAsia" w:ascii="仿宋_GB2312" w:eastAsia="仿宋_GB2312"/>
          <w:sz w:val="32"/>
          <w:szCs w:val="32"/>
        </w:rPr>
        <w:t xml:space="preserve"> 万元。其中：一般公共预算财政拨款支出 </w:t>
      </w:r>
      <w:r>
        <w:rPr>
          <w:rFonts w:hint="eastAsia" w:ascii="仿宋_GB2312" w:eastAsia="仿宋_GB2312"/>
          <w:sz w:val="32"/>
          <w:szCs w:val="32"/>
          <w:lang w:val="en-US" w:eastAsia="zh-CN"/>
        </w:rPr>
        <w:t>95.42</w:t>
      </w:r>
      <w:r>
        <w:rPr>
          <w:rFonts w:hint="eastAsia" w:ascii="仿宋_GB2312" w:eastAsia="仿宋_GB2312"/>
          <w:sz w:val="32"/>
          <w:szCs w:val="32"/>
        </w:rPr>
        <w:t>万元，</w:t>
      </w:r>
      <w:r>
        <w:rPr>
          <w:rFonts w:hint="eastAsia" w:ascii="仿宋_GB2312" w:eastAsia="仿宋_GB2312"/>
          <w:sz w:val="32"/>
          <w:szCs w:val="32"/>
          <w:lang w:eastAsia="zh-CN"/>
        </w:rPr>
        <w:t>与</w:t>
      </w:r>
      <w:r>
        <w:rPr>
          <w:rFonts w:hint="eastAsia" w:ascii="仿宋_GB2312" w:eastAsia="仿宋_GB2312"/>
          <w:sz w:val="32"/>
          <w:szCs w:val="32"/>
        </w:rPr>
        <w:t>年初预算数</w:t>
      </w:r>
      <w:r>
        <w:rPr>
          <w:rFonts w:hint="eastAsia" w:ascii="仿宋_GB2312" w:eastAsia="仿宋_GB2312"/>
          <w:sz w:val="32"/>
          <w:szCs w:val="32"/>
          <w:lang w:eastAsia="zh-CN"/>
        </w:rPr>
        <w:t>相等。</w:t>
      </w:r>
    </w:p>
    <w:p>
      <w:pPr>
        <w:spacing w:line="640" w:lineRule="exact"/>
        <w:rPr>
          <w:rFonts w:ascii="仿宋_GB2312" w:eastAsia="仿宋_GB2312"/>
          <w:sz w:val="32"/>
          <w:szCs w:val="32"/>
        </w:rPr>
      </w:pPr>
      <w:r>
        <w:rPr>
          <w:rFonts w:hint="eastAsia" w:ascii="仿宋_GB2312" w:eastAsia="仿宋_GB2312"/>
          <w:b/>
          <w:sz w:val="32"/>
          <w:szCs w:val="32"/>
        </w:rPr>
        <w:t>分功能科目看，</w:t>
      </w:r>
      <w:r>
        <w:rPr>
          <w:rFonts w:hint="eastAsia" w:ascii="仿宋_GB2312" w:eastAsia="仿宋_GB2312"/>
          <w:sz w:val="32"/>
          <w:szCs w:val="32"/>
        </w:rPr>
        <w:t>一般公共服务（类）</w:t>
      </w:r>
      <w:r>
        <w:rPr>
          <w:rFonts w:hint="eastAsia" w:ascii="仿宋_GB2312" w:hAnsi="宋体" w:eastAsia="仿宋_GB2312" w:cs="宋体"/>
          <w:kern w:val="0"/>
          <w:sz w:val="32"/>
          <w:szCs w:val="32"/>
          <w:lang w:eastAsia="zh-CN"/>
        </w:rPr>
        <w:t>其他水利支出</w:t>
      </w:r>
      <w:r>
        <w:rPr>
          <w:rFonts w:hint="eastAsia" w:ascii="仿宋_GB2312" w:hAnsi="宋体" w:eastAsia="仿宋_GB2312" w:cs="宋体"/>
          <w:kern w:val="0"/>
          <w:sz w:val="32"/>
          <w:szCs w:val="32"/>
        </w:rPr>
        <w:t>事务（款）</w:t>
      </w:r>
      <w:r>
        <w:rPr>
          <w:rFonts w:hint="eastAsia" w:ascii="仿宋_GB2312" w:eastAsia="仿宋_GB2312"/>
          <w:sz w:val="32"/>
          <w:szCs w:val="32"/>
        </w:rPr>
        <w:t xml:space="preserve"> </w:t>
      </w:r>
      <w:r>
        <w:rPr>
          <w:rFonts w:hint="eastAsia" w:ascii="仿宋_GB2312" w:eastAsia="仿宋_GB2312"/>
          <w:sz w:val="32"/>
          <w:szCs w:val="32"/>
          <w:lang w:val="en-US" w:eastAsia="zh-CN"/>
        </w:rPr>
        <w:t>95.42</w:t>
      </w:r>
      <w:r>
        <w:rPr>
          <w:rFonts w:hint="eastAsia" w:ascii="仿宋_GB2312" w:eastAsia="仿宋_GB2312"/>
          <w:sz w:val="32"/>
          <w:szCs w:val="32"/>
        </w:rPr>
        <w:t>万元，主要用于</w:t>
      </w:r>
      <w:r>
        <w:rPr>
          <w:rFonts w:hint="eastAsia" w:ascii="仿宋_GB2312" w:eastAsia="仿宋_GB2312"/>
          <w:sz w:val="32"/>
          <w:szCs w:val="32"/>
          <w:lang w:eastAsia="zh-CN"/>
        </w:rPr>
        <w:t>人员经费和机关日常运行开出</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三、</w:t>
      </w:r>
      <w:r>
        <w:rPr>
          <w:rFonts w:hint="eastAsia" w:ascii="仿宋_GB2312" w:eastAsia="仿宋_GB2312"/>
          <w:b/>
          <w:sz w:val="32"/>
          <w:szCs w:val="32"/>
          <w:lang w:val="en-US" w:eastAsia="zh-CN"/>
        </w:rPr>
        <w:t>2015</w:t>
      </w:r>
      <w:r>
        <w:rPr>
          <w:rFonts w:hint="eastAsia" w:ascii="仿宋_GB2312" w:eastAsia="仿宋_GB2312"/>
          <w:b/>
          <w:sz w:val="32"/>
          <w:szCs w:val="32"/>
        </w:rPr>
        <w:t>年度财政拨款“三公”经费支出决算情况说明</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（一）“三公”经费财政拨款支出决算总体情况说明</w:t>
      </w:r>
    </w:p>
    <w:p>
      <w:pPr>
        <w:ind w:firstLine="640" w:firstLineChars="200"/>
        <w:rPr>
          <w:rFonts w:ascii="仿宋_GB2312" w:hAnsi="宋体" w:eastAsia="仿宋_GB2312"/>
          <w:sz w:val="32"/>
          <w:szCs w:val="32"/>
        </w:rPr>
      </w:pP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2015</w:t>
      </w:r>
      <w:r>
        <w:rPr>
          <w:rFonts w:hint="eastAsia" w:ascii="仿宋_GB2312" w:eastAsia="仿宋_GB2312"/>
          <w:sz w:val="32"/>
          <w:szCs w:val="32"/>
        </w:rPr>
        <w:t>年度“</w:t>
      </w:r>
      <w:r>
        <w:rPr>
          <w:rFonts w:hint="eastAsia" w:ascii="仿宋_GB2312" w:hAnsi="宋体" w:eastAsia="仿宋_GB2312"/>
          <w:sz w:val="32"/>
          <w:szCs w:val="32"/>
        </w:rPr>
        <w:t xml:space="preserve">三公”经费财政拨款支出决算为 </w:t>
      </w:r>
      <w:r>
        <w:rPr>
          <w:rFonts w:hint="eastAsia" w:ascii="仿宋_GB2312" w:hAnsi="宋体" w:eastAsia="仿宋_GB2312"/>
          <w:sz w:val="32"/>
          <w:szCs w:val="32"/>
          <w:lang w:val="en-US" w:eastAsia="zh-CN"/>
        </w:rPr>
        <w:t>3</w:t>
      </w:r>
      <w:r>
        <w:rPr>
          <w:rFonts w:hint="eastAsia" w:ascii="仿宋_GB2312" w:hAnsi="宋体" w:eastAsia="仿宋_GB2312"/>
          <w:sz w:val="32"/>
          <w:szCs w:val="32"/>
        </w:rPr>
        <w:t xml:space="preserve">万元，完成预算 </w:t>
      </w:r>
      <w:r>
        <w:rPr>
          <w:rFonts w:hint="eastAsia" w:ascii="仿宋_GB2312" w:hAnsi="宋体" w:eastAsia="仿宋_GB2312"/>
          <w:sz w:val="32"/>
          <w:szCs w:val="32"/>
          <w:lang w:val="en-US" w:eastAsia="zh-CN"/>
        </w:rPr>
        <w:t>3</w:t>
      </w:r>
      <w:r>
        <w:rPr>
          <w:rFonts w:hint="eastAsia" w:ascii="仿宋_GB2312" w:hAnsi="宋体" w:eastAsia="仿宋_GB2312"/>
          <w:sz w:val="32"/>
          <w:szCs w:val="32"/>
        </w:rPr>
        <w:t>万元的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 xml:space="preserve"> %。其中：</w:t>
      </w:r>
      <w:r>
        <w:rPr>
          <w:rFonts w:hint="eastAsia" w:ascii="仿宋_GB2312" w:eastAsia="仿宋_GB2312"/>
          <w:sz w:val="32"/>
          <w:szCs w:val="32"/>
        </w:rPr>
        <w:t xml:space="preserve">因公出国（境）费支出决算为 </w:t>
      </w:r>
      <w:r>
        <w:rPr>
          <w:rFonts w:hint="eastAsia" w:ascii="仿宋_GB2312" w:eastAsia="仿宋_GB2312"/>
          <w:sz w:val="32"/>
          <w:szCs w:val="32"/>
          <w:lang w:val="en-US" w:eastAsia="zh-CN"/>
        </w:rPr>
        <w:t>0</w:t>
      </w:r>
      <w:r>
        <w:rPr>
          <w:rFonts w:hint="eastAsia" w:ascii="仿宋_GB2312" w:eastAsia="仿宋_GB2312"/>
          <w:sz w:val="32"/>
          <w:szCs w:val="32"/>
        </w:rPr>
        <w:t xml:space="preserve"> 万元，完成预算</w:t>
      </w:r>
      <w:r>
        <w:rPr>
          <w:rFonts w:hint="eastAsia" w:ascii="仿宋_GB2312" w:eastAsia="仿宋_GB2312"/>
          <w:sz w:val="32"/>
          <w:szCs w:val="32"/>
          <w:lang w:val="en-US" w:eastAsia="zh-CN"/>
        </w:rPr>
        <w:t>0</w:t>
      </w:r>
      <w:r>
        <w:rPr>
          <w:rFonts w:hint="eastAsia" w:ascii="仿宋_GB2312" w:eastAsia="仿宋_GB2312"/>
          <w:sz w:val="32"/>
          <w:szCs w:val="32"/>
        </w:rPr>
        <w:t xml:space="preserve"> 万元的 </w:t>
      </w:r>
      <w:r>
        <w:rPr>
          <w:rFonts w:hint="eastAsia" w:ascii="仿宋_GB2312" w:eastAsia="仿宋_GB2312"/>
          <w:sz w:val="32"/>
          <w:szCs w:val="32"/>
          <w:lang w:val="en-US" w:eastAsia="zh-CN"/>
        </w:rPr>
        <w:t>0</w:t>
      </w:r>
      <w:r>
        <w:rPr>
          <w:rFonts w:hint="eastAsia" w:ascii="仿宋_GB2312" w:eastAsia="仿宋_GB2312"/>
          <w:sz w:val="32"/>
          <w:szCs w:val="32"/>
        </w:rPr>
        <w:t xml:space="preserve">%；公务用车购置及运行维护费支出决算为 </w:t>
      </w:r>
      <w:r>
        <w:rPr>
          <w:rFonts w:hint="eastAsia" w:ascii="仿宋_GB2312" w:eastAsia="仿宋_GB2312"/>
          <w:sz w:val="32"/>
          <w:szCs w:val="32"/>
          <w:lang w:val="en-US" w:eastAsia="zh-CN"/>
        </w:rPr>
        <w:t>3</w:t>
      </w:r>
      <w:r>
        <w:rPr>
          <w:rFonts w:hint="eastAsia" w:ascii="仿宋_GB2312" w:eastAsia="仿宋_GB2312"/>
          <w:sz w:val="32"/>
          <w:szCs w:val="32"/>
        </w:rPr>
        <w:t xml:space="preserve"> 万元，完成预算 </w:t>
      </w:r>
      <w:r>
        <w:rPr>
          <w:rFonts w:hint="eastAsia" w:ascii="仿宋_GB2312" w:eastAsia="仿宋_GB2312"/>
          <w:sz w:val="32"/>
          <w:szCs w:val="32"/>
          <w:lang w:val="en-US" w:eastAsia="zh-CN"/>
        </w:rPr>
        <w:t>3</w:t>
      </w:r>
      <w:r>
        <w:rPr>
          <w:rFonts w:hint="eastAsia" w:ascii="仿宋_GB2312" w:eastAsia="仿宋_GB2312"/>
          <w:sz w:val="32"/>
          <w:szCs w:val="32"/>
        </w:rPr>
        <w:t>万元的</w:t>
      </w:r>
      <w:r>
        <w:rPr>
          <w:rFonts w:hint="eastAsia" w:ascii="仿宋_GB2312" w:eastAsia="仿宋_GB2312"/>
          <w:sz w:val="32"/>
          <w:szCs w:val="32"/>
          <w:lang w:val="en-US" w:eastAsia="zh-CN"/>
        </w:rPr>
        <w:t>100</w:t>
      </w:r>
      <w:r>
        <w:rPr>
          <w:rFonts w:hint="eastAsia" w:ascii="仿宋_GB2312" w:eastAsia="仿宋_GB2312"/>
          <w:sz w:val="32"/>
          <w:szCs w:val="32"/>
        </w:rPr>
        <w:t xml:space="preserve"> %；公务接待费支出决算为 </w:t>
      </w:r>
      <w:r>
        <w:rPr>
          <w:rFonts w:hint="eastAsia" w:ascii="仿宋_GB2312" w:eastAsia="仿宋_GB2312"/>
          <w:sz w:val="32"/>
          <w:szCs w:val="32"/>
          <w:lang w:val="en-US" w:eastAsia="zh-CN"/>
        </w:rPr>
        <w:t>0</w:t>
      </w:r>
      <w:r>
        <w:rPr>
          <w:rFonts w:hint="eastAsia" w:ascii="仿宋_GB2312" w:eastAsia="仿宋_GB2312"/>
          <w:sz w:val="32"/>
          <w:szCs w:val="32"/>
        </w:rPr>
        <w:t xml:space="preserve"> 万元，完成预算 </w:t>
      </w:r>
      <w:r>
        <w:rPr>
          <w:rFonts w:hint="eastAsia" w:ascii="仿宋_GB2312" w:eastAsia="仿宋_GB2312"/>
          <w:sz w:val="32"/>
          <w:szCs w:val="32"/>
          <w:lang w:val="en-US" w:eastAsia="zh-CN"/>
        </w:rPr>
        <w:t>0</w:t>
      </w:r>
      <w:r>
        <w:rPr>
          <w:rFonts w:hint="eastAsia" w:ascii="仿宋_GB2312" w:eastAsia="仿宋_GB2312"/>
          <w:sz w:val="32"/>
          <w:szCs w:val="32"/>
        </w:rPr>
        <w:t xml:space="preserve">万元的 </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val="en-US" w:eastAsia="zh-CN"/>
        </w:rPr>
        <w:t>2015</w:t>
      </w:r>
      <w:r>
        <w:rPr>
          <w:rFonts w:hint="eastAsia" w:ascii="仿宋_GB2312" w:eastAsia="仿宋_GB2312"/>
          <w:sz w:val="32"/>
          <w:szCs w:val="32"/>
        </w:rPr>
        <w:t>年度“三公”经费支出决算</w:t>
      </w:r>
      <w:r>
        <w:rPr>
          <w:rFonts w:hint="eastAsia" w:ascii="仿宋_GB2312" w:eastAsia="仿宋_GB2312"/>
          <w:sz w:val="32"/>
          <w:szCs w:val="32"/>
          <w:lang w:eastAsia="zh-CN"/>
        </w:rPr>
        <w:t>等</w:t>
      </w:r>
      <w:r>
        <w:rPr>
          <w:rFonts w:hint="eastAsia" w:ascii="仿宋_GB2312" w:eastAsia="仿宋_GB2312"/>
          <w:sz w:val="32"/>
          <w:szCs w:val="32"/>
        </w:rPr>
        <w:t>预算数的主要原因是</w:t>
      </w:r>
      <w:r>
        <w:rPr>
          <w:rFonts w:hint="eastAsia" w:ascii="仿宋_GB2312" w:eastAsia="仿宋_GB2312"/>
          <w:sz w:val="32"/>
          <w:szCs w:val="32"/>
          <w:lang w:eastAsia="zh-CN"/>
        </w:rPr>
        <w:t>我局</w:t>
      </w:r>
      <w:r>
        <w:rPr>
          <w:rFonts w:hint="eastAsia" w:ascii="仿宋_GB2312" w:eastAsia="仿宋_GB2312"/>
          <w:sz w:val="32"/>
          <w:szCs w:val="32"/>
        </w:rPr>
        <w:t>认真贯彻落实中央“八项规定”精神和厉行节约的要求，从严控制“三公”经费开支，</w:t>
      </w:r>
      <w:r>
        <w:rPr>
          <w:rFonts w:hint="eastAsia" w:ascii="仿宋_GB2312" w:eastAsia="仿宋_GB2312"/>
          <w:sz w:val="32"/>
          <w:szCs w:val="32"/>
          <w:lang w:eastAsia="zh-CN"/>
        </w:rPr>
        <w:t>确保</w:t>
      </w:r>
      <w:r>
        <w:rPr>
          <w:rFonts w:hint="eastAsia" w:ascii="仿宋_GB2312" w:eastAsia="仿宋_GB2312"/>
          <w:sz w:val="32"/>
          <w:szCs w:val="32"/>
        </w:rPr>
        <w:t>全年实际支出</w:t>
      </w:r>
      <w:r>
        <w:rPr>
          <w:rFonts w:hint="eastAsia" w:ascii="仿宋_GB2312" w:eastAsia="仿宋_GB2312"/>
          <w:sz w:val="32"/>
          <w:szCs w:val="32"/>
          <w:lang w:eastAsia="zh-CN"/>
        </w:rPr>
        <w:t>与</w:t>
      </w:r>
      <w:r>
        <w:rPr>
          <w:rFonts w:hint="eastAsia" w:ascii="仿宋_GB2312" w:eastAsia="仿宋_GB2312"/>
          <w:sz w:val="32"/>
          <w:szCs w:val="32"/>
        </w:rPr>
        <w:t>预算</w:t>
      </w:r>
      <w:r>
        <w:rPr>
          <w:rFonts w:hint="eastAsia" w:ascii="仿宋_GB2312" w:eastAsia="仿宋_GB2312"/>
          <w:sz w:val="32"/>
          <w:szCs w:val="32"/>
          <w:lang w:eastAsia="zh-CN"/>
        </w:rPr>
        <w:t>持平。</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（二）“三公”经费财政拨款支出决算具体情况说明</w:t>
      </w:r>
    </w:p>
    <w:p>
      <w:pPr>
        <w:ind w:firstLine="640" w:firstLineChars="200"/>
        <w:rPr>
          <w:rFonts w:ascii="仿宋_GB2312" w:eastAsia="仿宋_GB2312"/>
          <w:sz w:val="32"/>
          <w:szCs w:val="32"/>
        </w:rPr>
      </w:pPr>
      <w:r>
        <w:rPr>
          <w:rFonts w:hint="eastAsia" w:ascii="仿宋_GB2312" w:hAnsi="宋体" w:eastAsia="仿宋_GB2312"/>
          <w:sz w:val="32"/>
          <w:szCs w:val="32"/>
          <w:lang w:val="en-US" w:eastAsia="zh-CN"/>
        </w:rPr>
        <w:t>2015</w:t>
      </w:r>
      <w:r>
        <w:rPr>
          <w:rFonts w:hint="eastAsia" w:ascii="仿宋_GB2312" w:hAnsi="宋体" w:eastAsia="仿宋_GB2312"/>
          <w:sz w:val="32"/>
          <w:szCs w:val="32"/>
        </w:rPr>
        <w:t>年</w:t>
      </w:r>
      <w:r>
        <w:rPr>
          <w:rFonts w:hint="eastAsia" w:ascii="仿宋_GB2312" w:eastAsia="仿宋_GB2312"/>
          <w:sz w:val="32"/>
          <w:szCs w:val="32"/>
        </w:rPr>
        <w:t xml:space="preserve">“三公”经费财政拨款支出决算中，因公出国（境）费 </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 xml:space="preserve"> %；公务用车购置及运行维护费支出 </w:t>
      </w:r>
      <w:r>
        <w:rPr>
          <w:rFonts w:hint="eastAsia" w:ascii="仿宋_GB2312" w:eastAsia="仿宋_GB2312"/>
          <w:sz w:val="32"/>
          <w:szCs w:val="32"/>
          <w:lang w:val="en-US" w:eastAsia="zh-CN"/>
        </w:rPr>
        <w:t>3</w:t>
      </w:r>
      <w:r>
        <w:rPr>
          <w:rFonts w:hint="eastAsia" w:ascii="仿宋_GB2312" w:eastAsia="仿宋_GB2312"/>
          <w:sz w:val="32"/>
          <w:szCs w:val="32"/>
        </w:rPr>
        <w:t xml:space="preserve">万元，占 </w:t>
      </w:r>
      <w:r>
        <w:rPr>
          <w:rFonts w:hint="eastAsia" w:ascii="仿宋_GB2312" w:eastAsia="仿宋_GB2312"/>
          <w:sz w:val="32"/>
          <w:szCs w:val="32"/>
          <w:lang w:val="en-US" w:eastAsia="zh-CN"/>
        </w:rPr>
        <w:t>100</w:t>
      </w:r>
      <w:r>
        <w:rPr>
          <w:rFonts w:hint="eastAsia" w:ascii="仿宋_GB2312" w:eastAsia="仿宋_GB2312"/>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 xml:space="preserve"> 万元，占</w:t>
      </w:r>
      <w:r>
        <w:rPr>
          <w:rFonts w:hint="eastAsia" w:ascii="仿宋_GB2312" w:eastAsia="仿宋_GB2312"/>
          <w:sz w:val="32"/>
          <w:szCs w:val="32"/>
          <w:lang w:val="en-US" w:eastAsia="zh-CN"/>
        </w:rPr>
        <w:t>0</w:t>
      </w:r>
      <w:r>
        <w:rPr>
          <w:rFonts w:hint="eastAsia" w:ascii="仿宋_GB2312" w:eastAsia="仿宋_GB2312"/>
          <w:sz w:val="32"/>
          <w:szCs w:val="32"/>
        </w:rPr>
        <w:t xml:space="preserve"> %。具体情况如下：</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公务用车购置及运行维护费支出 </w:t>
      </w:r>
      <w:r>
        <w:rPr>
          <w:rFonts w:hint="eastAsia" w:ascii="仿宋_GB2312" w:eastAsia="仿宋_GB2312"/>
          <w:sz w:val="32"/>
          <w:szCs w:val="32"/>
          <w:lang w:val="en-US" w:eastAsia="zh-CN"/>
        </w:rPr>
        <w:t>3</w:t>
      </w:r>
      <w:r>
        <w:rPr>
          <w:rFonts w:hint="eastAsia" w:ascii="仿宋_GB2312" w:eastAsia="仿宋_GB2312"/>
          <w:sz w:val="32"/>
          <w:szCs w:val="32"/>
        </w:rPr>
        <w:t xml:space="preserve"> 万元，其中：公务用车购置支出为 </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2015</w:t>
      </w:r>
      <w:r>
        <w:rPr>
          <w:rFonts w:ascii="仿宋_GB2312" w:eastAsia="仿宋_GB2312"/>
          <w:sz w:val="32"/>
          <w:szCs w:val="32"/>
        </w:rPr>
        <w:t>年</w:t>
      </w:r>
      <w:r>
        <w:rPr>
          <w:rFonts w:hint="eastAsia" w:ascii="仿宋_GB2312" w:eastAsia="仿宋_GB2312"/>
          <w:sz w:val="32"/>
          <w:szCs w:val="32"/>
        </w:rPr>
        <w:t>公务用车购置数</w:t>
      </w:r>
      <w:r>
        <w:rPr>
          <w:rFonts w:ascii="仿宋_GB2312" w:eastAsia="仿宋_GB2312"/>
          <w:sz w:val="32"/>
          <w:szCs w:val="32"/>
        </w:rPr>
        <w:t xml:space="preserve">  </w:t>
      </w:r>
      <w:r>
        <w:rPr>
          <w:rFonts w:hint="eastAsia" w:ascii="仿宋_GB2312" w:eastAsia="仿宋_GB2312"/>
          <w:sz w:val="32"/>
          <w:szCs w:val="32"/>
          <w:lang w:val="en-US" w:eastAsia="zh-CN"/>
        </w:rPr>
        <w:t>0</w:t>
      </w:r>
      <w:r>
        <w:rPr>
          <w:rFonts w:hint="eastAsia" w:ascii="仿宋_GB2312" w:eastAsia="仿宋_GB2312"/>
          <w:sz w:val="32"/>
          <w:szCs w:val="32"/>
        </w:rPr>
        <w:t xml:space="preserve"> 辆；公务用车运行及维护支出</w:t>
      </w:r>
      <w:r>
        <w:rPr>
          <w:rFonts w:hint="eastAsia" w:ascii="仿宋_GB2312" w:eastAsia="仿宋_GB2312"/>
          <w:sz w:val="32"/>
          <w:szCs w:val="32"/>
          <w:lang w:val="en-US" w:eastAsia="zh-CN"/>
        </w:rPr>
        <w:t>3</w:t>
      </w:r>
      <w:r>
        <w:rPr>
          <w:rFonts w:hint="eastAsia" w:ascii="仿宋_GB2312" w:eastAsia="仿宋_GB2312"/>
          <w:sz w:val="32"/>
          <w:szCs w:val="32"/>
        </w:rPr>
        <w:t xml:space="preserve"> 万元，</w:t>
      </w:r>
      <w:r>
        <w:rPr>
          <w:rFonts w:hint="eastAsia" w:ascii="仿宋_GB2312" w:eastAsia="仿宋_GB2312"/>
          <w:sz w:val="32"/>
          <w:szCs w:val="32"/>
          <w:lang w:val="en-US" w:eastAsia="zh-CN"/>
        </w:rPr>
        <w:t>2015</w:t>
      </w:r>
      <w:r>
        <w:rPr>
          <w:rFonts w:hint="eastAsia" w:ascii="仿宋_GB2312" w:eastAsia="仿宋_GB2312"/>
          <w:sz w:val="32"/>
          <w:szCs w:val="32"/>
        </w:rPr>
        <w:t>年局机关公务用车保有量为</w:t>
      </w:r>
      <w:r>
        <w:rPr>
          <w:rFonts w:hint="eastAsia" w:ascii="仿宋_GB2312" w:eastAsia="仿宋_GB2312"/>
          <w:sz w:val="32"/>
          <w:szCs w:val="32"/>
          <w:lang w:val="en-US" w:eastAsia="zh-CN"/>
        </w:rPr>
        <w:t>1</w:t>
      </w:r>
      <w:r>
        <w:rPr>
          <w:rFonts w:hint="eastAsia" w:ascii="仿宋_GB2312" w:eastAsia="仿宋_GB2312"/>
          <w:sz w:val="32"/>
          <w:szCs w:val="32"/>
        </w:rPr>
        <w:t xml:space="preserve">  辆，主要用于</w:t>
      </w:r>
      <w:r>
        <w:rPr>
          <w:rFonts w:hint="eastAsia" w:ascii="仿宋_GB2312" w:eastAsia="仿宋_GB2312"/>
          <w:sz w:val="32"/>
          <w:szCs w:val="32"/>
          <w:lang w:eastAsia="zh-CN"/>
        </w:rPr>
        <w:t>广东省韩江高陂水利枢纽工程建设公务用车</w:t>
      </w:r>
      <w:r>
        <w:rPr>
          <w:rFonts w:hint="eastAsia" w:ascii="仿宋_GB2312" w:eastAsia="仿宋_GB2312"/>
          <w:sz w:val="32"/>
          <w:szCs w:val="32"/>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四、其他重要事项的情况说明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（一）机关运行经费支出情况</w:t>
      </w:r>
    </w:p>
    <w:p>
      <w:pPr>
        <w:spacing w:line="580" w:lineRule="exact"/>
        <w:ind w:firstLine="640" w:firstLineChars="200"/>
        <w:rPr>
          <w:rFonts w:eastAsia="仿宋_GB2312"/>
          <w:sz w:val="32"/>
          <w:szCs w:val="32"/>
        </w:rPr>
      </w:pPr>
      <w:r>
        <w:rPr>
          <w:rFonts w:hint="eastAsia" w:ascii="仿宋_GB2312" w:hAnsi="宋体" w:eastAsia="仿宋_GB2312"/>
          <w:sz w:val="32"/>
          <w:szCs w:val="32"/>
          <w:lang w:val="en-US" w:eastAsia="zh-CN"/>
        </w:rPr>
        <w:t>2015</w:t>
      </w:r>
      <w:r>
        <w:rPr>
          <w:rFonts w:hint="eastAsia" w:ascii="仿宋_GB2312" w:hAnsi="宋体" w:eastAsia="仿宋_GB2312"/>
          <w:sz w:val="32"/>
          <w:szCs w:val="32"/>
        </w:rPr>
        <w:t>年本部门机关运行经费支出</w:t>
      </w:r>
      <w:r>
        <w:rPr>
          <w:rFonts w:hint="eastAsia" w:ascii="仿宋_GB2312" w:hAnsi="宋体" w:eastAsia="仿宋_GB2312"/>
          <w:sz w:val="32"/>
          <w:szCs w:val="32"/>
          <w:lang w:val="en-US" w:eastAsia="zh-CN"/>
        </w:rPr>
        <w:t>95.42</w:t>
      </w:r>
      <w:r>
        <w:rPr>
          <w:rFonts w:hint="eastAsia" w:ascii="仿宋_GB2312" w:hAnsi="宋体" w:eastAsia="仿宋_GB2312"/>
          <w:sz w:val="32"/>
          <w:szCs w:val="32"/>
        </w:rPr>
        <w:t>万元（与部门决算中行政单位和参照公务员法管理的事业单位一般公共预算财政拨款基本支出中公用经费之和保持一致），</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（二）政府采购支出情况说明</w:t>
      </w:r>
    </w:p>
    <w:p>
      <w:pPr>
        <w:spacing w:line="288" w:lineRule="auto"/>
        <w:ind w:firstLine="640" w:firstLineChars="200"/>
        <w:rPr>
          <w:rFonts w:ascii="仿宋_GB2312" w:eastAsia="仿宋_GB2312"/>
          <w:b/>
          <w:sz w:val="32"/>
          <w:szCs w:val="32"/>
        </w:rPr>
      </w:pPr>
      <w:r>
        <w:rPr>
          <w:rFonts w:hint="eastAsia" w:ascii="仿宋_GB2312" w:eastAsia="仿宋_GB2312"/>
          <w:sz w:val="32"/>
          <w:szCs w:val="32"/>
          <w:lang w:val="en-US" w:eastAsia="zh-CN"/>
        </w:rPr>
        <w:t>2015</w:t>
      </w:r>
      <w:r>
        <w:rPr>
          <w:rFonts w:hint="eastAsia" w:ascii="仿宋_GB2312" w:eastAsia="仿宋_GB2312"/>
          <w:sz w:val="32"/>
          <w:szCs w:val="32"/>
        </w:rPr>
        <w:t>年本部门</w:t>
      </w:r>
      <w:r>
        <w:rPr>
          <w:rFonts w:hint="eastAsia" w:ascii="仿宋_GB2312" w:eastAsia="仿宋_GB2312"/>
          <w:sz w:val="32"/>
          <w:szCs w:val="32"/>
          <w:lang w:eastAsia="zh-CN"/>
        </w:rPr>
        <w:t>无发生</w:t>
      </w:r>
      <w:r>
        <w:rPr>
          <w:rFonts w:hint="eastAsia" w:ascii="仿宋_GB2312" w:eastAsia="仿宋_GB2312"/>
          <w:sz w:val="32"/>
          <w:szCs w:val="32"/>
        </w:rPr>
        <w:t>政府采购支出</w:t>
      </w:r>
      <w:r>
        <w:rPr>
          <w:rFonts w:hint="eastAsia" w:ascii="仿宋_GB2312" w:eastAsia="仿宋_GB2312"/>
          <w:sz w:val="32"/>
          <w:szCs w:val="32"/>
          <w:lang w:eastAsia="zh-CN"/>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（三）国有资产占用情况</w:t>
      </w:r>
    </w:p>
    <w:p>
      <w:pPr>
        <w:spacing w:line="480" w:lineRule="auto"/>
        <w:ind w:firstLine="465"/>
        <w:rPr>
          <w:rFonts w:ascii="宋体" w:cs="宋体"/>
          <w:kern w:val="0"/>
          <w:sz w:val="24"/>
          <w:szCs w:val="24"/>
        </w:rPr>
      </w:pPr>
      <w:r>
        <w:rPr>
          <w:rFonts w:hint="eastAsia" w:ascii="宋体" w:hAnsi="宋体" w:cs="宋体"/>
          <w:kern w:val="0"/>
          <w:sz w:val="24"/>
          <w:szCs w:val="24"/>
        </w:rPr>
        <w:t>截至</w:t>
      </w:r>
      <w:r>
        <w:rPr>
          <w:rFonts w:ascii="宋体" w:hAnsi="宋体" w:cs="宋体"/>
          <w:kern w:val="0"/>
          <w:sz w:val="24"/>
          <w:szCs w:val="24"/>
        </w:rPr>
        <w:t>2015</w:t>
      </w:r>
      <w:r>
        <w:rPr>
          <w:rFonts w:hint="eastAsia" w:ascii="宋体" w:hAnsi="宋体" w:cs="宋体"/>
          <w:kern w:val="0"/>
          <w:sz w:val="24"/>
          <w:szCs w:val="24"/>
        </w:rPr>
        <w:t>年</w:t>
      </w:r>
      <w:r>
        <w:rPr>
          <w:rFonts w:ascii="宋体" w:hAnsi="宋体" w:cs="宋体"/>
          <w:kern w:val="0"/>
          <w:sz w:val="24"/>
          <w:szCs w:val="24"/>
        </w:rPr>
        <w:t>12</w:t>
      </w:r>
      <w:r>
        <w:rPr>
          <w:rFonts w:hint="eastAsia" w:ascii="宋体" w:hAnsi="宋体" w:cs="宋体"/>
          <w:kern w:val="0"/>
          <w:sz w:val="24"/>
          <w:szCs w:val="24"/>
        </w:rPr>
        <w:t>月</w:t>
      </w:r>
      <w:r>
        <w:rPr>
          <w:rFonts w:ascii="宋体" w:hAnsi="宋体" w:cs="宋体"/>
          <w:kern w:val="0"/>
          <w:sz w:val="24"/>
          <w:szCs w:val="24"/>
        </w:rPr>
        <w:t>31</w:t>
      </w:r>
      <w:r>
        <w:rPr>
          <w:rFonts w:hint="eastAsia" w:ascii="宋体" w:hAnsi="宋体" w:cs="宋体"/>
          <w:kern w:val="0"/>
          <w:sz w:val="24"/>
          <w:szCs w:val="24"/>
        </w:rPr>
        <w:t>日，本单位无事业收入。车辆</w:t>
      </w:r>
      <w:r>
        <w:rPr>
          <w:rFonts w:ascii="宋体" w:hAnsi="宋体" w:cs="宋体"/>
          <w:kern w:val="0"/>
          <w:sz w:val="24"/>
          <w:szCs w:val="24"/>
        </w:rPr>
        <w:t>1</w:t>
      </w:r>
      <w:r>
        <w:rPr>
          <w:rFonts w:hint="eastAsia" w:ascii="宋体" w:hAnsi="宋体" w:cs="宋体"/>
          <w:kern w:val="0"/>
          <w:sz w:val="24"/>
          <w:szCs w:val="24"/>
        </w:rPr>
        <w:t>辆，县委县政府拨入的一般公务用车。</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（四）预算绩效管理工作开展情况。</w:t>
      </w:r>
    </w:p>
    <w:p>
      <w:pPr>
        <w:snapToGrid w:val="0"/>
        <w:spacing w:line="580" w:lineRule="exact"/>
        <w:ind w:firstLine="6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大埔县移民工作局</w:t>
      </w:r>
      <w:r>
        <w:rPr>
          <w:rFonts w:hint="eastAsia" w:ascii="仿宋_GB2312" w:eastAsia="仿宋_GB2312"/>
          <w:sz w:val="32"/>
          <w:szCs w:val="32"/>
          <w:lang w:val="en-US" w:eastAsia="zh-CN"/>
        </w:rPr>
        <w:t>2015年</w:t>
      </w:r>
      <w:r>
        <w:rPr>
          <w:rFonts w:hint="eastAsia" w:ascii="仿宋_GB2312" w:eastAsia="仿宋_GB2312"/>
          <w:sz w:val="32"/>
          <w:szCs w:val="32"/>
          <w:lang w:eastAsia="zh-CN"/>
        </w:rPr>
        <w:t>无</w:t>
      </w:r>
      <w:r>
        <w:rPr>
          <w:rFonts w:hint="eastAsia" w:ascii="仿宋_GB2312" w:eastAsia="仿宋_GB2312"/>
          <w:sz w:val="32"/>
          <w:szCs w:val="32"/>
        </w:rPr>
        <w:t>一般公共预算项目支出绩效自评</w:t>
      </w:r>
      <w:r>
        <w:rPr>
          <w:rFonts w:hint="eastAsia" w:ascii="仿宋_GB2312" w:eastAsia="仿宋_GB2312"/>
          <w:sz w:val="32"/>
          <w:szCs w:val="32"/>
          <w:lang w:eastAsia="zh-CN"/>
        </w:rPr>
        <w:t>项目</w:t>
      </w:r>
      <w:r>
        <w:rPr>
          <w:rFonts w:hint="eastAsia" w:ascii="仿宋_GB2312" w:eastAsia="仿宋_GB2312"/>
          <w:sz w:val="32"/>
          <w:szCs w:val="32"/>
        </w:rPr>
        <w:t>。</w:t>
      </w:r>
    </w:p>
    <w:p>
      <w:pPr>
        <w:snapToGrid w:val="0"/>
        <w:spacing w:line="360" w:lineRule="auto"/>
        <w:ind w:firstLine="643"/>
        <w:rPr>
          <w:rFonts w:ascii="仿宋_GB2312" w:eastAsia="仿宋_GB2312"/>
          <w:sz w:val="32"/>
          <w:szCs w:val="32"/>
        </w:rPr>
      </w:pP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第四部分  名词解释</w:t>
      </w:r>
    </w:p>
    <w:p>
      <w:pPr>
        <w:spacing w:line="288" w:lineRule="auto"/>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1"/>
        </w:numPr>
        <w:spacing w:line="288" w:lineRule="auto"/>
        <w:ind w:firstLine="630" w:firstLineChars="196"/>
        <w:rPr>
          <w:rFonts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rPr>
          <w:rFonts w:ascii="方正小标宋简体" w:eastAsia="方正小标宋简体"/>
          <w:sz w:val="44"/>
          <w:szCs w:val="44"/>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sectPr>
      <w:footerReference r:id="rId3" w:type="default"/>
      <w:footerReference r:id="rId4"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50C1"/>
    <w:multiLevelType w:val="singleLevel"/>
    <w:tmpl w:val="5A5F50C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2EC9"/>
    <w:rsid w:val="001B1782"/>
    <w:rsid w:val="002F48B4"/>
    <w:rsid w:val="003E5862"/>
    <w:rsid w:val="005617B7"/>
    <w:rsid w:val="00F1665B"/>
    <w:rsid w:val="00FB2EC9"/>
    <w:rsid w:val="4BDA3086"/>
    <w:rsid w:val="55C65B92"/>
    <w:rsid w:val="595B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1684</Words>
  <Characters>9605</Characters>
  <Lines>80</Lines>
  <Paragraphs>22</Paragraphs>
  <TotalTime>0</TotalTime>
  <ScaleCrop>false</ScaleCrop>
  <LinksUpToDate>false</LinksUpToDate>
  <CharactersWithSpaces>11267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2018-03-30T03:38:00Z</dcterms:created>
  <dc:creator>梅州市人民政府专用版</dc:creator>
  <cp:lastModifiedBy>Administrator</cp:lastModifiedBy>
  <cp:lastPrinted>2018-04-11T02:31:38Z</cp:lastPrinted>
  <dcterms:modified xsi:type="dcterms:W3CDTF">2018-04-11T02:32:52Z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