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600"/>
        <w:jc w:val="center"/>
        <w:rPr>
          <w:b/>
          <w:sz w:val="52"/>
          <w:szCs w:val="52"/>
        </w:rPr>
      </w:pPr>
      <w:r>
        <w:rPr>
          <w:rFonts w:hint="eastAsia"/>
          <w:b/>
          <w:sz w:val="52"/>
          <w:szCs w:val="52"/>
        </w:rPr>
        <w:t>2016年度大埔县银江镇人民政府</w:t>
      </w:r>
    </w:p>
    <w:p>
      <w:pPr>
        <w:jc w:val="center"/>
        <w:rPr>
          <w:b/>
          <w:sz w:val="52"/>
          <w:szCs w:val="52"/>
        </w:rPr>
      </w:pPr>
      <w:r>
        <w:rPr>
          <w:rFonts w:hint="eastAsia"/>
          <w:b/>
          <w:sz w:val="52"/>
          <w:szCs w:val="52"/>
        </w:rPr>
        <w:t>决  算</w:t>
      </w:r>
    </w:p>
    <w:p>
      <w:pPr>
        <w:widowControl/>
        <w:jc w:val="left"/>
        <w:rPr>
          <w:b/>
          <w:sz w:val="52"/>
          <w:szCs w:val="52"/>
        </w:rPr>
      </w:pPr>
      <w:r>
        <w:rPr>
          <w:b/>
          <w:sz w:val="52"/>
          <w:szCs w:val="52"/>
        </w:rPr>
        <w:br w:type="page"/>
      </w:r>
    </w:p>
    <w:p>
      <w:pPr>
        <w:jc w:val="center"/>
        <w:rPr>
          <w:rFonts w:ascii="黑体" w:hAnsi="黑体" w:eastAsia="黑体"/>
          <w:b/>
          <w:sz w:val="36"/>
          <w:szCs w:val="36"/>
        </w:rPr>
      </w:pPr>
      <w:r>
        <w:rPr>
          <w:rFonts w:hint="eastAsia" w:ascii="黑体" w:hAnsi="黑体" w:eastAsia="黑体"/>
          <w:b/>
          <w:sz w:val="36"/>
          <w:szCs w:val="36"/>
        </w:rPr>
        <w:t>目 录</w:t>
      </w:r>
    </w:p>
    <w:p>
      <w:pPr>
        <w:rPr>
          <w:rFonts w:ascii="黑体" w:hAnsi="黑体" w:eastAsia="黑体"/>
          <w:b/>
          <w:sz w:val="36"/>
          <w:szCs w:val="36"/>
        </w:rPr>
      </w:pPr>
      <w:r>
        <w:rPr>
          <w:rFonts w:hint="eastAsia" w:ascii="黑体" w:hAnsi="黑体" w:eastAsia="黑体"/>
          <w:b/>
          <w:sz w:val="32"/>
          <w:szCs w:val="32"/>
        </w:rPr>
        <w:t>第一部分 2016年大埔县银江镇人民政府基本情况</w:t>
      </w:r>
    </w:p>
    <w:p>
      <w:pPr>
        <w:pStyle w:val="12"/>
        <w:numPr>
          <w:ilvl w:val="0"/>
          <w:numId w:val="1"/>
        </w:numPr>
        <w:ind w:firstLineChars="0"/>
        <w:jc w:val="left"/>
        <w:rPr>
          <w:rFonts w:asciiTheme="majorEastAsia" w:hAnsiTheme="majorEastAsia" w:eastAsiaTheme="majorEastAsia"/>
          <w:sz w:val="28"/>
          <w:szCs w:val="28"/>
        </w:rPr>
      </w:pPr>
      <w:r>
        <w:rPr>
          <w:rFonts w:hint="eastAsia" w:asciiTheme="majorEastAsia" w:hAnsiTheme="majorEastAsia" w:eastAsiaTheme="majorEastAsia"/>
          <w:sz w:val="28"/>
          <w:szCs w:val="28"/>
        </w:rPr>
        <w:t>部门职责</w:t>
      </w:r>
    </w:p>
    <w:p>
      <w:pPr>
        <w:pStyle w:val="12"/>
        <w:numPr>
          <w:ilvl w:val="0"/>
          <w:numId w:val="1"/>
        </w:numPr>
        <w:ind w:firstLineChars="0"/>
        <w:jc w:val="left"/>
        <w:rPr>
          <w:rFonts w:asciiTheme="majorEastAsia" w:hAnsiTheme="majorEastAsia" w:eastAsiaTheme="majorEastAsia"/>
          <w:sz w:val="28"/>
          <w:szCs w:val="28"/>
        </w:rPr>
      </w:pPr>
      <w:r>
        <w:rPr>
          <w:rFonts w:hint="eastAsia" w:asciiTheme="majorEastAsia" w:hAnsiTheme="majorEastAsia" w:eastAsiaTheme="majorEastAsia"/>
          <w:sz w:val="28"/>
          <w:szCs w:val="28"/>
        </w:rPr>
        <w:t>机构设置</w:t>
      </w:r>
    </w:p>
    <w:p>
      <w:pPr>
        <w:spacing w:beforeLines="200"/>
        <w:jc w:val="left"/>
        <w:rPr>
          <w:rFonts w:ascii="黑体" w:hAnsi="黑体" w:eastAsia="黑体"/>
          <w:b/>
          <w:sz w:val="32"/>
          <w:szCs w:val="32"/>
        </w:rPr>
      </w:pPr>
      <w:r>
        <w:rPr>
          <w:rFonts w:hint="eastAsia" w:ascii="黑体" w:hAnsi="黑体" w:eastAsia="黑体"/>
          <w:b/>
          <w:sz w:val="32"/>
          <w:szCs w:val="32"/>
        </w:rPr>
        <w:t>第二部分 2016年大埔县银江镇人民政府决算表</w:t>
      </w:r>
    </w:p>
    <w:p>
      <w:pPr>
        <w:pStyle w:val="12"/>
        <w:numPr>
          <w:ilvl w:val="0"/>
          <w:numId w:val="2"/>
        </w:numPr>
        <w:ind w:firstLineChars="0"/>
        <w:jc w:val="left"/>
        <w:rPr>
          <w:sz w:val="28"/>
          <w:szCs w:val="28"/>
        </w:rPr>
      </w:pPr>
      <w:r>
        <w:rPr>
          <w:rFonts w:hint="eastAsia"/>
          <w:sz w:val="28"/>
          <w:szCs w:val="28"/>
        </w:rPr>
        <w:t>收入支出决算总表</w:t>
      </w:r>
    </w:p>
    <w:p>
      <w:pPr>
        <w:pStyle w:val="12"/>
        <w:numPr>
          <w:ilvl w:val="0"/>
          <w:numId w:val="2"/>
        </w:numPr>
        <w:ind w:firstLineChars="0"/>
        <w:jc w:val="left"/>
        <w:rPr>
          <w:sz w:val="28"/>
          <w:szCs w:val="28"/>
        </w:rPr>
      </w:pPr>
      <w:r>
        <w:rPr>
          <w:rFonts w:hint="eastAsia"/>
          <w:sz w:val="28"/>
          <w:szCs w:val="28"/>
        </w:rPr>
        <w:t>收入决算表</w:t>
      </w:r>
    </w:p>
    <w:p>
      <w:pPr>
        <w:pStyle w:val="12"/>
        <w:numPr>
          <w:ilvl w:val="0"/>
          <w:numId w:val="2"/>
        </w:numPr>
        <w:ind w:firstLineChars="0"/>
        <w:jc w:val="left"/>
        <w:rPr>
          <w:sz w:val="28"/>
          <w:szCs w:val="28"/>
        </w:rPr>
      </w:pPr>
      <w:r>
        <w:rPr>
          <w:rFonts w:hint="eastAsia"/>
          <w:sz w:val="28"/>
          <w:szCs w:val="28"/>
        </w:rPr>
        <w:t>支出决算表</w:t>
      </w:r>
    </w:p>
    <w:p>
      <w:pPr>
        <w:pStyle w:val="12"/>
        <w:numPr>
          <w:ilvl w:val="0"/>
          <w:numId w:val="2"/>
        </w:numPr>
        <w:ind w:firstLineChars="0"/>
        <w:jc w:val="left"/>
        <w:rPr>
          <w:sz w:val="28"/>
          <w:szCs w:val="28"/>
        </w:rPr>
      </w:pPr>
      <w:r>
        <w:rPr>
          <w:rFonts w:hint="eastAsia"/>
          <w:sz w:val="28"/>
          <w:szCs w:val="28"/>
        </w:rPr>
        <w:t>财政拨款收入支出决算表</w:t>
      </w:r>
    </w:p>
    <w:p>
      <w:pPr>
        <w:pStyle w:val="12"/>
        <w:numPr>
          <w:ilvl w:val="0"/>
          <w:numId w:val="2"/>
        </w:numPr>
        <w:ind w:firstLineChars="0"/>
        <w:jc w:val="left"/>
        <w:rPr>
          <w:sz w:val="28"/>
          <w:szCs w:val="28"/>
        </w:rPr>
      </w:pPr>
      <w:r>
        <w:rPr>
          <w:rFonts w:hint="eastAsia"/>
          <w:sz w:val="28"/>
          <w:szCs w:val="28"/>
        </w:rPr>
        <w:t>一般公共预算财政拨款支出决算表</w:t>
      </w:r>
    </w:p>
    <w:p>
      <w:pPr>
        <w:pStyle w:val="12"/>
        <w:numPr>
          <w:ilvl w:val="0"/>
          <w:numId w:val="2"/>
        </w:numPr>
        <w:ind w:firstLineChars="0"/>
        <w:jc w:val="left"/>
        <w:rPr>
          <w:sz w:val="28"/>
          <w:szCs w:val="28"/>
        </w:rPr>
      </w:pPr>
      <w:r>
        <w:rPr>
          <w:rFonts w:hint="eastAsia"/>
          <w:sz w:val="28"/>
          <w:szCs w:val="28"/>
        </w:rPr>
        <w:t>一般公共预算财政拨款基本支出决算表</w:t>
      </w:r>
    </w:p>
    <w:p>
      <w:pPr>
        <w:pStyle w:val="12"/>
        <w:numPr>
          <w:ilvl w:val="0"/>
          <w:numId w:val="2"/>
        </w:numPr>
        <w:ind w:firstLineChars="0"/>
        <w:jc w:val="left"/>
        <w:rPr>
          <w:sz w:val="28"/>
          <w:szCs w:val="28"/>
        </w:rPr>
      </w:pPr>
      <w:r>
        <w:rPr>
          <w:rFonts w:hint="eastAsia"/>
          <w:sz w:val="28"/>
          <w:szCs w:val="28"/>
        </w:rPr>
        <w:t>一般公共预算财政拨款“三公”经费支出决算表</w:t>
      </w:r>
    </w:p>
    <w:p>
      <w:pPr>
        <w:pStyle w:val="12"/>
        <w:numPr>
          <w:ilvl w:val="0"/>
          <w:numId w:val="2"/>
        </w:numPr>
        <w:ind w:firstLineChars="0"/>
        <w:jc w:val="left"/>
        <w:rPr>
          <w:sz w:val="28"/>
          <w:szCs w:val="28"/>
        </w:rPr>
      </w:pPr>
      <w:r>
        <w:rPr>
          <w:rFonts w:hint="eastAsia"/>
          <w:sz w:val="28"/>
          <w:szCs w:val="28"/>
        </w:rPr>
        <w:t>政府性基金预算财政拨款收入支出决算表</w:t>
      </w:r>
    </w:p>
    <w:p>
      <w:pPr>
        <w:spacing w:beforeLines="200"/>
        <w:jc w:val="left"/>
        <w:rPr>
          <w:rFonts w:ascii="黑体" w:hAnsi="黑体" w:eastAsia="黑体"/>
          <w:b/>
          <w:sz w:val="32"/>
          <w:szCs w:val="32"/>
        </w:rPr>
      </w:pPr>
      <w:r>
        <w:rPr>
          <w:rFonts w:hint="eastAsia" w:ascii="黑体" w:hAnsi="黑体" w:eastAsia="黑体"/>
          <w:b/>
          <w:sz w:val="32"/>
          <w:szCs w:val="32"/>
        </w:rPr>
        <w:t>第三部分 2016年大埔县银江镇人民政府决算情况说明</w:t>
      </w:r>
    </w:p>
    <w:p>
      <w:pPr>
        <w:pStyle w:val="12"/>
        <w:numPr>
          <w:ilvl w:val="0"/>
          <w:numId w:val="3"/>
        </w:numPr>
        <w:ind w:firstLineChars="0"/>
        <w:jc w:val="left"/>
        <w:rPr>
          <w:sz w:val="28"/>
          <w:szCs w:val="28"/>
        </w:rPr>
      </w:pPr>
      <w:r>
        <w:rPr>
          <w:rFonts w:hint="eastAsia"/>
          <w:sz w:val="28"/>
          <w:szCs w:val="28"/>
        </w:rPr>
        <w:t>预算执行情况分析</w:t>
      </w:r>
    </w:p>
    <w:p>
      <w:pPr>
        <w:pStyle w:val="12"/>
        <w:numPr>
          <w:ilvl w:val="0"/>
          <w:numId w:val="3"/>
        </w:numPr>
        <w:ind w:firstLineChars="0"/>
        <w:jc w:val="left"/>
        <w:rPr>
          <w:sz w:val="28"/>
          <w:szCs w:val="28"/>
        </w:rPr>
      </w:pPr>
      <w:r>
        <w:rPr>
          <w:rFonts w:hint="eastAsia"/>
          <w:sz w:val="28"/>
          <w:szCs w:val="28"/>
        </w:rPr>
        <w:t>专业名词解释</w:t>
      </w:r>
    </w:p>
    <w:p>
      <w:pPr>
        <w:jc w:val="left"/>
        <w:rPr>
          <w:b/>
          <w:sz w:val="30"/>
          <w:szCs w:val="30"/>
        </w:rPr>
      </w:pPr>
    </w:p>
    <w:p>
      <w:pPr>
        <w:widowControl/>
        <w:jc w:val="left"/>
        <w:rPr>
          <w:b/>
          <w:sz w:val="30"/>
          <w:szCs w:val="30"/>
        </w:rPr>
      </w:pPr>
      <w:r>
        <w:rPr>
          <w:b/>
          <w:sz w:val="30"/>
          <w:szCs w:val="30"/>
        </w:rPr>
        <w:br w:type="page"/>
      </w:r>
    </w:p>
    <w:p>
      <w:pPr>
        <w:jc w:val="center"/>
        <w:rPr>
          <w:rFonts w:ascii="黑体" w:hAnsi="黑体" w:eastAsia="黑体"/>
          <w:b/>
          <w:sz w:val="36"/>
          <w:szCs w:val="36"/>
        </w:rPr>
      </w:pPr>
      <w:r>
        <w:rPr>
          <w:rFonts w:hint="eastAsia" w:ascii="黑体" w:hAnsi="黑体" w:eastAsia="黑体"/>
          <w:b/>
          <w:sz w:val="36"/>
          <w:szCs w:val="36"/>
        </w:rPr>
        <w:t>第一部分2016年大埔县银江镇人民政府基本情况</w:t>
      </w:r>
    </w:p>
    <w:p>
      <w:pPr>
        <w:spacing w:beforeLines="200"/>
        <w:jc w:val="left"/>
        <w:rPr>
          <w:b/>
          <w:sz w:val="30"/>
          <w:szCs w:val="30"/>
        </w:rPr>
      </w:pPr>
      <w:r>
        <w:rPr>
          <w:rFonts w:hint="eastAsia"/>
          <w:b/>
          <w:sz w:val="30"/>
          <w:szCs w:val="30"/>
        </w:rPr>
        <w:t>一、部门职责</w:t>
      </w:r>
    </w:p>
    <w:p>
      <w:pPr>
        <w:pStyle w:val="14"/>
        <w:shd w:val="clear" w:color="auto" w:fill="FFFFFF"/>
        <w:spacing w:before="0" w:beforeAutospacing="0" w:after="0" w:afterAutospacing="0" w:line="540" w:lineRule="atLeast"/>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cstheme="minorBidi"/>
          <w:kern w:val="2"/>
          <w:sz w:val="28"/>
          <w:szCs w:val="28"/>
          <w:shd w:val="clear" w:color="auto" w:fill="FFFFFF"/>
        </w:rPr>
        <w:t>（一）</w:t>
      </w:r>
      <w:r>
        <w:rPr>
          <w:rFonts w:hint="eastAsia" w:asciiTheme="minorEastAsia" w:hAnsiTheme="minorEastAsia" w:eastAsiaTheme="minorEastAsia"/>
          <w:sz w:val="28"/>
          <w:szCs w:val="28"/>
          <w:shd w:val="clear" w:color="auto" w:fill="FFFFFF"/>
        </w:rPr>
        <w:t>贯彻执行党的路线、方针、政策和国家法律、法规。落实上级党委、政府的各项决议和决定。</w:t>
      </w:r>
    </w:p>
    <w:p>
      <w:pPr>
        <w:pStyle w:val="14"/>
        <w:shd w:val="clear" w:color="auto" w:fill="FFFFFF"/>
        <w:spacing w:before="0" w:beforeAutospacing="0" w:after="0" w:afterAutospacing="0" w:line="540" w:lineRule="atLeast"/>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cstheme="minorBidi"/>
          <w:kern w:val="2"/>
          <w:sz w:val="28"/>
          <w:szCs w:val="28"/>
          <w:shd w:val="clear" w:color="auto" w:fill="FFFFFF"/>
        </w:rPr>
        <w:t>（二）</w:t>
      </w:r>
      <w:r>
        <w:rPr>
          <w:rFonts w:hint="eastAsia" w:cs="仿宋" w:asciiTheme="minorEastAsia" w:hAnsiTheme="minorEastAsia" w:eastAsiaTheme="minorEastAsia"/>
          <w:sz w:val="28"/>
          <w:szCs w:val="28"/>
        </w:rPr>
        <w:t>制定和组织实施本行政区域的经济、科技和社会发展计划，协调好本镇与外地区的经济交流与合作 ，抓好招商引资，人才引进项目开发，组织经济运行，促进经济发展。</w:t>
      </w:r>
    </w:p>
    <w:p>
      <w:pPr>
        <w:pStyle w:val="14"/>
        <w:shd w:val="clear" w:color="auto" w:fill="FFFFFF"/>
        <w:spacing w:before="0" w:beforeAutospacing="0" w:after="0" w:afterAutospacing="0" w:line="540" w:lineRule="atLeast"/>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cstheme="minorBidi"/>
          <w:kern w:val="2"/>
          <w:sz w:val="28"/>
          <w:szCs w:val="28"/>
          <w:shd w:val="clear" w:color="auto" w:fill="FFFFFF"/>
        </w:rPr>
        <w:t>（三）</w:t>
      </w:r>
      <w:r>
        <w:rPr>
          <w:rFonts w:hint="eastAsia" w:asciiTheme="minorEastAsia" w:hAnsiTheme="minorEastAsia" w:eastAsiaTheme="minorEastAsia"/>
          <w:sz w:val="28"/>
          <w:szCs w:val="28"/>
          <w:shd w:val="clear" w:color="auto" w:fill="FFFFFF"/>
        </w:rPr>
        <w:t>以经济建设为中心，加强农村基层组织建设和基层基础系列化建设，转变机关作风，增强服务意识，提高办事效率，促进农村经济发展。</w:t>
      </w:r>
    </w:p>
    <w:p>
      <w:pPr>
        <w:ind w:firstLine="560" w:firstLineChars="200"/>
        <w:jc w:val="left"/>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（四）认真执行本级党代会和人民代表大会的决议，保证其在本行政区域内的贯彻执行和落实。</w:t>
      </w:r>
    </w:p>
    <w:p>
      <w:pPr>
        <w:pStyle w:val="14"/>
        <w:shd w:val="clear" w:color="auto" w:fill="FFFFFF"/>
        <w:spacing w:before="0" w:beforeAutospacing="0" w:after="0" w:afterAutospacing="0" w:line="540" w:lineRule="atLeast"/>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cstheme="minorBidi"/>
          <w:kern w:val="2"/>
          <w:sz w:val="28"/>
          <w:szCs w:val="28"/>
          <w:shd w:val="clear" w:color="auto" w:fill="FFFFFF"/>
        </w:rPr>
        <w:t>（五）</w:t>
      </w:r>
      <w:r>
        <w:rPr>
          <w:rFonts w:hint="eastAsia" w:asciiTheme="minorEastAsia" w:hAnsiTheme="minorEastAsia" w:eastAsiaTheme="minorEastAsia"/>
          <w:sz w:val="28"/>
          <w:szCs w:val="28"/>
          <w:shd w:val="clear" w:color="auto" w:fill="FFFFFF"/>
        </w:rPr>
        <w:t>加强党的建设，做好党务工作；加强勤政、廉政建设；加强干部队伍的建设和管理，充分发挥基层党组织在“四化”建设中的核心领导作用。</w:t>
      </w:r>
    </w:p>
    <w:p>
      <w:pPr>
        <w:pStyle w:val="14"/>
        <w:shd w:val="clear" w:color="auto" w:fill="FFFFFF"/>
        <w:spacing w:before="0" w:beforeAutospacing="0" w:after="0" w:afterAutospacing="0" w:line="540" w:lineRule="atLeast"/>
        <w:ind w:firstLine="560" w:firstLineChars="200"/>
        <w:rPr>
          <w:rFonts w:asciiTheme="minorEastAsia" w:hAnsiTheme="minorEastAsia" w:eastAsiaTheme="minorEastAsia" w:cstheme="minorBidi"/>
          <w:kern w:val="2"/>
          <w:sz w:val="28"/>
          <w:szCs w:val="28"/>
          <w:shd w:val="clear" w:color="auto" w:fill="FFFFFF"/>
        </w:rPr>
      </w:pPr>
      <w:r>
        <w:rPr>
          <w:rFonts w:hint="eastAsia" w:asciiTheme="minorEastAsia" w:hAnsiTheme="minorEastAsia" w:eastAsiaTheme="minorEastAsia" w:cstheme="minorBidi"/>
          <w:kern w:val="2"/>
          <w:sz w:val="28"/>
          <w:szCs w:val="28"/>
          <w:shd w:val="clear" w:color="auto" w:fill="FFFFFF"/>
        </w:rPr>
        <w:t>（六）管理本行政区域内的民政、计划生育、文化教育、卫生、体育等社会公益事业的综合性工作，调解和处理民事纠纷，打击刑事犯罪维护社会稳定。</w:t>
      </w:r>
    </w:p>
    <w:p>
      <w:pPr>
        <w:pStyle w:val="14"/>
        <w:shd w:val="clear" w:color="auto" w:fill="FFFFFF"/>
        <w:spacing w:before="0" w:beforeAutospacing="0" w:after="0" w:afterAutospacing="0" w:line="540" w:lineRule="atLeast"/>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cstheme="minorBidi"/>
          <w:kern w:val="2"/>
          <w:sz w:val="28"/>
          <w:szCs w:val="28"/>
          <w:shd w:val="clear" w:color="auto" w:fill="FFFFFF"/>
        </w:rPr>
        <w:t>（七）</w:t>
      </w:r>
      <w:r>
        <w:rPr>
          <w:rFonts w:hint="eastAsia" w:asciiTheme="minorEastAsia" w:hAnsiTheme="minorEastAsia" w:eastAsiaTheme="minorEastAsia"/>
          <w:sz w:val="28"/>
          <w:szCs w:val="28"/>
          <w:shd w:val="clear" w:color="auto" w:fill="FFFFFF"/>
        </w:rPr>
        <w:t>协调行政区域内各村、各行业、各经济组织之间的关系；理顺政府部门之间，政府同企业、事业和社会中介组织之间的关系。</w:t>
      </w:r>
    </w:p>
    <w:p>
      <w:pPr>
        <w:ind w:firstLine="560" w:firstLineChars="200"/>
        <w:jc w:val="left"/>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 xml:space="preserve">（八）指导村（居）民委会工作，充分发挥群众组织的自我教育、自我管理、自我建设、自我服务的作用。 </w:t>
      </w:r>
    </w:p>
    <w:p>
      <w:pPr>
        <w:ind w:firstLine="560" w:firstLineChars="200"/>
        <w:jc w:val="left"/>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（九</w:t>
      </w:r>
      <w:r>
        <w:rPr>
          <w:rFonts w:asciiTheme="minorEastAsia" w:hAnsiTheme="minorEastAsia"/>
          <w:sz w:val="28"/>
          <w:szCs w:val="28"/>
          <w:shd w:val="clear" w:color="auto" w:fill="FFFFFF"/>
        </w:rPr>
        <w:t>）</w:t>
      </w:r>
      <w:r>
        <w:rPr>
          <w:rFonts w:hint="eastAsia" w:asciiTheme="minorEastAsia" w:hAnsiTheme="minorEastAsia"/>
          <w:sz w:val="28"/>
          <w:szCs w:val="28"/>
          <w:shd w:val="clear" w:color="auto" w:fill="FFFFFF"/>
        </w:rPr>
        <w:t xml:space="preserve">承办县委、县政府交办的其他事项。 </w:t>
      </w:r>
    </w:p>
    <w:p>
      <w:pPr>
        <w:ind w:firstLine="562" w:firstLineChars="200"/>
        <w:jc w:val="left"/>
        <w:rPr>
          <w:rFonts w:asciiTheme="minorEastAsia" w:hAnsiTheme="minorEastAsia"/>
          <w:b/>
          <w:sz w:val="28"/>
          <w:szCs w:val="28"/>
        </w:rPr>
      </w:pPr>
    </w:p>
    <w:p>
      <w:pPr>
        <w:spacing w:beforeLines="100"/>
        <w:jc w:val="left"/>
        <w:rPr>
          <w:b/>
          <w:sz w:val="28"/>
          <w:szCs w:val="28"/>
        </w:rPr>
      </w:pPr>
      <w:r>
        <w:rPr>
          <w:rFonts w:hint="eastAsia"/>
          <w:b/>
          <w:sz w:val="28"/>
          <w:szCs w:val="28"/>
        </w:rPr>
        <w:t>二、机构设置</w:t>
      </w:r>
    </w:p>
    <w:p>
      <w:pPr>
        <w:ind w:firstLine="560" w:firstLineChars="200"/>
        <w:jc w:val="left"/>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2016年决算由1个预算单位构成：大埔县银江镇人民政府。</w:t>
      </w:r>
    </w:p>
    <w:p>
      <w:pPr>
        <w:ind w:firstLine="560" w:firstLineChars="200"/>
        <w:jc w:val="left"/>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2016年全年编制人数100人，其中：机关人员51人，其中：行政编制 45人，工勤人员6人；事业编制49人。</w:t>
      </w:r>
    </w:p>
    <w:p>
      <w:pPr>
        <w:ind w:firstLine="560" w:firstLineChars="200"/>
        <w:jc w:val="left"/>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2016年年末实有在职人员</w:t>
      </w:r>
      <w:r>
        <w:rPr>
          <w:rFonts w:hint="eastAsia" w:asciiTheme="minorEastAsia" w:hAnsiTheme="minorEastAsia"/>
          <w:sz w:val="28"/>
          <w:szCs w:val="28"/>
          <w:shd w:val="clear" w:color="auto" w:fill="FFFFFF"/>
          <w:lang w:val="en-US" w:eastAsia="zh-CN"/>
        </w:rPr>
        <w:t>69</w:t>
      </w:r>
      <w:bookmarkStart w:id="0" w:name="_GoBack"/>
      <w:bookmarkEnd w:id="0"/>
      <w:r>
        <w:rPr>
          <w:rFonts w:hint="eastAsia" w:asciiTheme="minorEastAsia" w:hAnsiTheme="minorEastAsia"/>
          <w:sz w:val="28"/>
          <w:szCs w:val="28"/>
          <w:shd w:val="clear" w:color="auto" w:fill="FFFFFF"/>
        </w:rPr>
        <w:t>人，其中：实有在职行政人员41人，行政工勤人员1人，事业人员27人。实有退休人员40人。</w:t>
      </w:r>
    </w:p>
    <w:p>
      <w:pPr>
        <w:widowControl/>
        <w:jc w:val="left"/>
        <w:rPr>
          <w:rFonts w:asciiTheme="minorEastAsia" w:hAnsiTheme="minorEastAsia"/>
          <w:sz w:val="28"/>
          <w:szCs w:val="28"/>
          <w:shd w:val="clear" w:color="auto" w:fill="FFFFFF"/>
        </w:rPr>
      </w:pPr>
      <w:r>
        <w:rPr>
          <w:rFonts w:asciiTheme="minorEastAsia" w:hAnsiTheme="minorEastAsia"/>
          <w:sz w:val="28"/>
          <w:szCs w:val="28"/>
          <w:shd w:val="clear" w:color="auto" w:fill="FFFFFF"/>
        </w:rPr>
        <w:br w:type="page"/>
      </w:r>
    </w:p>
    <w:p>
      <w:pPr>
        <w:widowControl/>
        <w:jc w:val="center"/>
        <w:rPr>
          <w:rFonts w:asciiTheme="minorEastAsia" w:hAnsiTheme="minorEastAsia"/>
          <w:sz w:val="28"/>
          <w:szCs w:val="28"/>
          <w:shd w:val="clear" w:color="auto" w:fill="FFFFFF"/>
        </w:rPr>
      </w:pPr>
      <w:r>
        <w:rPr>
          <w:rFonts w:hint="eastAsia" w:ascii="黑体" w:hAnsi="黑体" w:eastAsia="黑体"/>
          <w:b/>
          <w:sz w:val="36"/>
          <w:szCs w:val="36"/>
        </w:rPr>
        <w:t>第二部分2016年大埔县银江镇人民政府决算表</w:t>
      </w:r>
    </w:p>
    <w:p>
      <w:pPr>
        <w:pStyle w:val="32"/>
        <w:numPr>
          <w:ilvl w:val="0"/>
          <w:numId w:val="4"/>
        </w:numPr>
        <w:spacing w:beforeLines="200"/>
        <w:ind w:firstLineChars="0"/>
        <w:jc w:val="center"/>
        <w:rPr>
          <w:rFonts w:asciiTheme="minorEastAsia" w:hAnsiTheme="minorEastAsia"/>
          <w:b/>
          <w:sz w:val="30"/>
          <w:szCs w:val="30"/>
        </w:rPr>
      </w:pPr>
      <w:r>
        <w:rPr>
          <w:rFonts w:hint="eastAsia" w:asciiTheme="minorEastAsia" w:hAnsiTheme="minorEastAsia"/>
          <w:b/>
          <w:sz w:val="30"/>
          <w:szCs w:val="30"/>
        </w:rPr>
        <w:t>收入支出决算总表</w:t>
      </w:r>
    </w:p>
    <w:p>
      <w:pPr>
        <w:widowControl/>
        <w:jc w:val="left"/>
        <w:rPr>
          <w:rFonts w:asciiTheme="minorEastAsia" w:hAnsiTheme="minorEastAsia"/>
          <w:b/>
          <w:sz w:val="30"/>
          <w:szCs w:val="30"/>
        </w:rPr>
      </w:pPr>
      <w:r>
        <w:rPr>
          <w:rFonts w:hint="eastAsia"/>
          <w:szCs w:val="30"/>
        </w:rPr>
        <w:drawing>
          <wp:inline distT="0" distB="0" distL="0" distR="0">
            <wp:extent cx="6057900" cy="6019800"/>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
                    <a:srcRect/>
                    <a:stretch>
                      <a:fillRect/>
                    </a:stretch>
                  </pic:blipFill>
                  <pic:spPr>
                    <a:xfrm>
                      <a:off x="0" y="0"/>
                      <a:ext cx="6057900" cy="6019800"/>
                    </a:xfrm>
                    <a:prstGeom prst="rect">
                      <a:avLst/>
                    </a:prstGeom>
                    <a:noFill/>
                    <a:ln w="9525">
                      <a:noFill/>
                      <a:miter lim="800000"/>
                      <a:headEnd/>
                      <a:tailEnd/>
                    </a:ln>
                  </pic:spPr>
                </pic:pic>
              </a:graphicData>
            </a:graphic>
          </wp:inline>
        </w:drawing>
      </w:r>
    </w:p>
    <w:p>
      <w:pPr>
        <w:widowControl/>
        <w:jc w:val="left"/>
        <w:rPr>
          <w:rFonts w:asciiTheme="minorEastAsia" w:hAnsiTheme="minorEastAsia"/>
          <w:b/>
          <w:sz w:val="30"/>
          <w:szCs w:val="30"/>
        </w:rPr>
      </w:pPr>
    </w:p>
    <w:p>
      <w:pPr>
        <w:widowControl/>
        <w:jc w:val="left"/>
        <w:rPr>
          <w:rFonts w:asciiTheme="minorEastAsia" w:hAnsiTheme="minorEastAsia"/>
          <w:b/>
          <w:sz w:val="30"/>
          <w:szCs w:val="30"/>
        </w:rPr>
      </w:pPr>
    </w:p>
    <w:p>
      <w:pPr>
        <w:widowControl/>
        <w:jc w:val="left"/>
        <w:rPr>
          <w:rFonts w:asciiTheme="minorEastAsia" w:hAnsiTheme="minorEastAsia"/>
          <w:b/>
          <w:sz w:val="30"/>
          <w:szCs w:val="30"/>
        </w:rPr>
      </w:pPr>
    </w:p>
    <w:p>
      <w:pPr>
        <w:widowControl/>
        <w:jc w:val="left"/>
        <w:rPr>
          <w:rFonts w:asciiTheme="minorEastAsia" w:hAnsiTheme="minorEastAsia"/>
          <w:b/>
          <w:sz w:val="30"/>
          <w:szCs w:val="30"/>
        </w:rPr>
      </w:pPr>
    </w:p>
    <w:p>
      <w:pPr>
        <w:jc w:val="center"/>
        <w:rPr>
          <w:rFonts w:asciiTheme="minorEastAsia" w:hAnsiTheme="minorEastAsia"/>
          <w:b/>
          <w:sz w:val="30"/>
          <w:szCs w:val="30"/>
        </w:rPr>
      </w:pPr>
      <w:r>
        <w:rPr>
          <w:rFonts w:hint="eastAsia" w:asciiTheme="minorEastAsia" w:hAnsiTheme="minorEastAsia"/>
          <w:b/>
          <w:sz w:val="30"/>
          <w:szCs w:val="30"/>
        </w:rPr>
        <w:t>二、收入决算表</w:t>
      </w:r>
    </w:p>
    <w:p>
      <w:pPr>
        <w:widowControl/>
        <w:jc w:val="left"/>
        <w:rPr>
          <w:rFonts w:asciiTheme="minorEastAsia" w:hAnsiTheme="minorEastAsia"/>
          <w:b/>
          <w:sz w:val="30"/>
          <w:szCs w:val="30"/>
        </w:rPr>
      </w:pPr>
      <w:r>
        <w:rPr>
          <w:szCs w:val="30"/>
        </w:rPr>
        <w:drawing>
          <wp:inline distT="0" distB="0" distL="0" distR="0">
            <wp:extent cx="6076950" cy="8086725"/>
            <wp:effectExtent l="38100" t="19050" r="19050" b="285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
                    <a:srcRect/>
                    <a:stretch>
                      <a:fillRect/>
                    </a:stretch>
                  </pic:blipFill>
                  <pic:spPr>
                    <a:xfrm>
                      <a:off x="0" y="0"/>
                      <a:ext cx="6077008" cy="8086803"/>
                    </a:xfrm>
                    <a:prstGeom prst="rect">
                      <a:avLst/>
                    </a:prstGeom>
                    <a:noFill/>
                    <a:ln w="3175">
                      <a:solidFill>
                        <a:schemeClr val="tx1"/>
                      </a:solidFill>
                      <a:miter lim="800000"/>
                      <a:headEnd/>
                      <a:tailEnd/>
                    </a:ln>
                  </pic:spPr>
                </pic:pic>
              </a:graphicData>
            </a:graphic>
          </wp:inline>
        </w:drawing>
      </w:r>
    </w:p>
    <w:p>
      <w:pPr>
        <w:widowControl/>
        <w:jc w:val="left"/>
        <w:rPr>
          <w:rFonts w:asciiTheme="minorEastAsia" w:hAnsiTheme="minorEastAsia"/>
          <w:b/>
          <w:sz w:val="30"/>
          <w:szCs w:val="30"/>
        </w:rPr>
      </w:pPr>
      <w:r>
        <w:rPr>
          <w:szCs w:val="30"/>
        </w:rPr>
        <w:drawing>
          <wp:inline distT="0" distB="0" distL="0" distR="0">
            <wp:extent cx="5915025" cy="3905250"/>
            <wp:effectExtent l="1905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6"/>
                    <a:srcRect/>
                    <a:stretch>
                      <a:fillRect/>
                    </a:stretch>
                  </pic:blipFill>
                  <pic:spPr>
                    <a:xfrm>
                      <a:off x="0" y="0"/>
                      <a:ext cx="5921828" cy="3909741"/>
                    </a:xfrm>
                    <a:prstGeom prst="rect">
                      <a:avLst/>
                    </a:prstGeom>
                    <a:noFill/>
                    <a:ln w="9525">
                      <a:noFill/>
                      <a:miter lim="800000"/>
                      <a:headEnd/>
                      <a:tailEnd/>
                    </a:ln>
                  </pic:spPr>
                </pic:pic>
              </a:graphicData>
            </a:graphic>
          </wp:inline>
        </w:drawing>
      </w:r>
    </w:p>
    <w:p>
      <w:pPr>
        <w:widowControl/>
        <w:jc w:val="left"/>
        <w:rPr>
          <w:rFonts w:asciiTheme="minorEastAsia" w:hAnsiTheme="minorEastAsia"/>
          <w:b/>
          <w:sz w:val="30"/>
          <w:szCs w:val="30"/>
        </w:rPr>
      </w:pPr>
      <w:r>
        <w:rPr>
          <w:rFonts w:asciiTheme="minorEastAsia" w:hAnsiTheme="minorEastAsia"/>
          <w:b/>
          <w:sz w:val="30"/>
          <w:szCs w:val="30"/>
        </w:rPr>
        <w:br w:type="page"/>
      </w:r>
    </w:p>
    <w:p>
      <w:pPr>
        <w:jc w:val="center"/>
        <w:rPr>
          <w:rFonts w:asciiTheme="minorEastAsia" w:hAnsiTheme="minorEastAsia"/>
          <w:b/>
          <w:sz w:val="30"/>
          <w:szCs w:val="30"/>
        </w:rPr>
      </w:pPr>
      <w:r>
        <w:rPr>
          <w:rFonts w:hint="eastAsia" w:asciiTheme="minorEastAsia" w:hAnsiTheme="minorEastAsia"/>
          <w:b/>
          <w:sz w:val="30"/>
          <w:szCs w:val="30"/>
        </w:rPr>
        <w:t>三、支出决算表</w:t>
      </w:r>
    </w:p>
    <w:p>
      <w:pPr>
        <w:rPr>
          <w:rFonts w:asciiTheme="minorEastAsia" w:hAnsiTheme="minorEastAsia"/>
          <w:b/>
          <w:sz w:val="30"/>
          <w:szCs w:val="30"/>
        </w:rPr>
      </w:pPr>
      <w:r>
        <w:rPr>
          <w:szCs w:val="30"/>
        </w:rPr>
        <w:drawing>
          <wp:inline distT="0" distB="0" distL="0" distR="0">
            <wp:extent cx="6019800" cy="8029575"/>
            <wp:effectExtent l="1905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7"/>
                    <a:srcRect/>
                    <a:stretch>
                      <a:fillRect/>
                    </a:stretch>
                  </pic:blipFill>
                  <pic:spPr>
                    <a:xfrm>
                      <a:off x="0" y="0"/>
                      <a:ext cx="6019800" cy="8029575"/>
                    </a:xfrm>
                    <a:prstGeom prst="rect">
                      <a:avLst/>
                    </a:prstGeom>
                    <a:noFill/>
                    <a:ln w="9525">
                      <a:noFill/>
                      <a:miter lim="800000"/>
                      <a:headEnd/>
                      <a:tailEnd/>
                    </a:ln>
                  </pic:spPr>
                </pic:pic>
              </a:graphicData>
            </a:graphic>
          </wp:inline>
        </w:drawing>
      </w:r>
    </w:p>
    <w:p>
      <w:pPr>
        <w:widowControl/>
        <w:jc w:val="left"/>
        <w:rPr>
          <w:rFonts w:asciiTheme="minorEastAsia" w:hAnsiTheme="minorEastAsia"/>
          <w:b/>
          <w:sz w:val="30"/>
          <w:szCs w:val="30"/>
        </w:rPr>
      </w:pPr>
      <w:r>
        <w:rPr>
          <w:rFonts w:asciiTheme="minorEastAsia" w:hAnsiTheme="minorEastAsia"/>
          <w:b/>
          <w:sz w:val="30"/>
          <w:szCs w:val="30"/>
        </w:rPr>
        <w:br w:type="page"/>
      </w:r>
    </w:p>
    <w:p>
      <w:pPr>
        <w:widowControl/>
        <w:jc w:val="left"/>
        <w:rPr>
          <w:rFonts w:asciiTheme="minorEastAsia" w:hAnsiTheme="minorEastAsia"/>
          <w:b/>
          <w:sz w:val="30"/>
          <w:szCs w:val="30"/>
        </w:rPr>
      </w:pPr>
      <w:r>
        <w:rPr>
          <w:szCs w:val="30"/>
        </w:rPr>
        <w:drawing>
          <wp:inline distT="0" distB="0" distL="0" distR="0">
            <wp:extent cx="6105525" cy="4124325"/>
            <wp:effectExtent l="1905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8"/>
                    <a:srcRect/>
                    <a:stretch>
                      <a:fillRect/>
                    </a:stretch>
                  </pic:blipFill>
                  <pic:spPr>
                    <a:xfrm>
                      <a:off x="0" y="0"/>
                      <a:ext cx="6105525" cy="4124325"/>
                    </a:xfrm>
                    <a:prstGeom prst="rect">
                      <a:avLst/>
                    </a:prstGeom>
                    <a:noFill/>
                    <a:ln w="9525">
                      <a:noFill/>
                      <a:miter lim="800000"/>
                      <a:headEnd/>
                      <a:tailEnd/>
                    </a:ln>
                  </pic:spPr>
                </pic:pic>
              </a:graphicData>
            </a:graphic>
          </wp:inline>
        </w:drawing>
      </w:r>
      <w:r>
        <w:rPr>
          <w:rFonts w:asciiTheme="minorEastAsia" w:hAnsiTheme="minorEastAsia"/>
          <w:b/>
          <w:sz w:val="30"/>
          <w:szCs w:val="30"/>
        </w:rPr>
        <w:br w:type="page"/>
      </w:r>
    </w:p>
    <w:p>
      <w:pPr>
        <w:widowControl/>
        <w:jc w:val="left"/>
        <w:rPr>
          <w:rFonts w:asciiTheme="minorEastAsia" w:hAnsiTheme="minorEastAsia"/>
          <w:b/>
          <w:sz w:val="30"/>
          <w:szCs w:val="30"/>
        </w:rPr>
      </w:pPr>
    </w:p>
    <w:p>
      <w:pPr>
        <w:jc w:val="center"/>
        <w:rPr>
          <w:rFonts w:asciiTheme="minorEastAsia" w:hAnsiTheme="minorEastAsia"/>
          <w:b/>
          <w:sz w:val="30"/>
          <w:szCs w:val="30"/>
        </w:rPr>
      </w:pPr>
      <w:r>
        <w:rPr>
          <w:rFonts w:hint="eastAsia" w:asciiTheme="minorEastAsia" w:hAnsiTheme="minorEastAsia"/>
          <w:b/>
          <w:sz w:val="30"/>
          <w:szCs w:val="30"/>
        </w:rPr>
        <w:t>四、财政拨款收入支出决算表</w:t>
      </w:r>
    </w:p>
    <w:p>
      <w:pPr>
        <w:rPr>
          <w:rFonts w:asciiTheme="minorEastAsia" w:hAnsiTheme="minorEastAsia"/>
          <w:b/>
          <w:sz w:val="30"/>
          <w:szCs w:val="30"/>
        </w:rPr>
      </w:pPr>
      <w:r>
        <w:rPr>
          <w:szCs w:val="30"/>
        </w:rPr>
        <w:drawing>
          <wp:inline distT="0" distB="0" distL="0" distR="0">
            <wp:extent cx="6315075" cy="6048375"/>
            <wp:effectExtent l="1905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9"/>
                    <a:srcRect/>
                    <a:stretch>
                      <a:fillRect/>
                    </a:stretch>
                  </pic:blipFill>
                  <pic:spPr>
                    <a:xfrm>
                      <a:off x="0" y="0"/>
                      <a:ext cx="6315075" cy="6048375"/>
                    </a:xfrm>
                    <a:prstGeom prst="rect">
                      <a:avLst/>
                    </a:prstGeom>
                    <a:noFill/>
                    <a:ln w="9525">
                      <a:noFill/>
                      <a:miter lim="800000"/>
                      <a:headEnd/>
                      <a:tailEnd/>
                    </a:ln>
                  </pic:spPr>
                </pic:pic>
              </a:graphicData>
            </a:graphic>
          </wp:inline>
        </w:drawing>
      </w:r>
    </w:p>
    <w:p>
      <w:pPr>
        <w:widowControl/>
        <w:jc w:val="left"/>
        <w:rPr>
          <w:rFonts w:asciiTheme="minorEastAsia" w:hAnsiTheme="minorEastAsia"/>
          <w:b/>
          <w:sz w:val="30"/>
          <w:szCs w:val="30"/>
        </w:rPr>
      </w:pPr>
      <w:r>
        <w:rPr>
          <w:rFonts w:asciiTheme="minorEastAsia" w:hAnsiTheme="minorEastAsia"/>
          <w:b/>
          <w:sz w:val="30"/>
          <w:szCs w:val="30"/>
        </w:rPr>
        <w:br w:type="page"/>
      </w:r>
    </w:p>
    <w:p>
      <w:pPr>
        <w:jc w:val="center"/>
        <w:rPr>
          <w:rFonts w:asciiTheme="minorEastAsia" w:hAnsiTheme="minorEastAsia"/>
          <w:b/>
          <w:sz w:val="30"/>
          <w:szCs w:val="30"/>
        </w:rPr>
      </w:pPr>
      <w:r>
        <w:rPr>
          <w:rFonts w:hint="eastAsia" w:asciiTheme="minorEastAsia" w:hAnsiTheme="minorEastAsia"/>
          <w:b/>
          <w:sz w:val="30"/>
          <w:szCs w:val="30"/>
        </w:rPr>
        <w:t>五、一般公共预算财政拨款收入支出决算表</w:t>
      </w:r>
    </w:p>
    <w:p>
      <w:pPr>
        <w:widowControl/>
        <w:jc w:val="left"/>
        <w:rPr>
          <w:rFonts w:asciiTheme="minorEastAsia" w:hAnsiTheme="minorEastAsia"/>
          <w:b/>
          <w:sz w:val="30"/>
          <w:szCs w:val="30"/>
        </w:rPr>
      </w:pPr>
      <w:r>
        <w:rPr>
          <w:szCs w:val="30"/>
        </w:rPr>
        <w:drawing>
          <wp:inline distT="0" distB="0" distL="0" distR="0">
            <wp:extent cx="6188710" cy="7874000"/>
            <wp:effectExtent l="19050" t="0" r="254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a:srcRect/>
                    <a:stretch>
                      <a:fillRect/>
                    </a:stretch>
                  </pic:blipFill>
                  <pic:spPr>
                    <a:xfrm>
                      <a:off x="0" y="0"/>
                      <a:ext cx="6188710" cy="7874028"/>
                    </a:xfrm>
                    <a:prstGeom prst="rect">
                      <a:avLst/>
                    </a:prstGeom>
                    <a:noFill/>
                    <a:ln w="9525">
                      <a:noFill/>
                      <a:miter lim="800000"/>
                      <a:headEnd/>
                      <a:tailEnd/>
                    </a:ln>
                  </pic:spPr>
                </pic:pic>
              </a:graphicData>
            </a:graphic>
          </wp:inline>
        </w:drawing>
      </w:r>
    </w:p>
    <w:p>
      <w:pPr>
        <w:rPr>
          <w:rFonts w:asciiTheme="minorEastAsia" w:hAnsiTheme="minorEastAsia"/>
          <w:b/>
          <w:sz w:val="30"/>
          <w:szCs w:val="30"/>
        </w:rPr>
      </w:pPr>
    </w:p>
    <w:p>
      <w:pPr>
        <w:widowControl/>
        <w:jc w:val="left"/>
        <w:rPr>
          <w:rFonts w:asciiTheme="minorEastAsia" w:hAnsiTheme="minorEastAsia"/>
          <w:b/>
          <w:sz w:val="30"/>
          <w:szCs w:val="30"/>
        </w:rPr>
      </w:pPr>
      <w:r>
        <w:rPr>
          <w:szCs w:val="30"/>
        </w:rPr>
        <w:drawing>
          <wp:inline distT="0" distB="0" distL="0" distR="0">
            <wp:extent cx="6188710" cy="2734945"/>
            <wp:effectExtent l="19050" t="0" r="254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1"/>
                    <a:srcRect/>
                    <a:stretch>
                      <a:fillRect/>
                    </a:stretch>
                  </pic:blipFill>
                  <pic:spPr>
                    <a:xfrm>
                      <a:off x="0" y="0"/>
                      <a:ext cx="6188710" cy="2735189"/>
                    </a:xfrm>
                    <a:prstGeom prst="rect">
                      <a:avLst/>
                    </a:prstGeom>
                    <a:noFill/>
                    <a:ln w="9525">
                      <a:noFill/>
                      <a:miter lim="800000"/>
                      <a:headEnd/>
                      <a:tailEnd/>
                    </a:ln>
                  </pic:spPr>
                </pic:pic>
              </a:graphicData>
            </a:graphic>
          </wp:inline>
        </w:drawing>
      </w:r>
    </w:p>
    <w:p>
      <w:pPr>
        <w:widowControl/>
        <w:jc w:val="left"/>
        <w:rPr>
          <w:rFonts w:asciiTheme="minorEastAsia" w:hAnsiTheme="minorEastAsia"/>
          <w:b/>
          <w:sz w:val="30"/>
          <w:szCs w:val="30"/>
        </w:rPr>
      </w:pPr>
      <w:r>
        <w:rPr>
          <w:rFonts w:asciiTheme="minorEastAsia" w:hAnsiTheme="minorEastAsia"/>
          <w:b/>
          <w:sz w:val="30"/>
          <w:szCs w:val="30"/>
        </w:rPr>
        <w:br w:type="page"/>
      </w:r>
    </w:p>
    <w:p>
      <w:pPr>
        <w:jc w:val="center"/>
        <w:rPr>
          <w:rFonts w:asciiTheme="minorEastAsia" w:hAnsiTheme="minorEastAsia"/>
          <w:b/>
          <w:sz w:val="30"/>
          <w:szCs w:val="30"/>
        </w:rPr>
      </w:pPr>
      <w:r>
        <w:rPr>
          <w:rFonts w:hint="eastAsia" w:asciiTheme="minorEastAsia" w:hAnsiTheme="minorEastAsia"/>
          <w:b/>
          <w:sz w:val="30"/>
          <w:szCs w:val="30"/>
        </w:rPr>
        <w:t>六、一般公共预算财政公款基本支出决算表</w:t>
      </w:r>
    </w:p>
    <w:p>
      <w:pPr>
        <w:widowControl/>
        <w:jc w:val="left"/>
        <w:rPr>
          <w:rFonts w:asciiTheme="minorEastAsia" w:hAnsiTheme="minorEastAsia"/>
          <w:b/>
          <w:sz w:val="30"/>
          <w:szCs w:val="30"/>
        </w:rPr>
      </w:pPr>
      <w:r>
        <w:rPr>
          <w:szCs w:val="30"/>
        </w:rPr>
        <w:drawing>
          <wp:inline distT="0" distB="0" distL="0" distR="0">
            <wp:extent cx="6531610" cy="5695950"/>
            <wp:effectExtent l="19050" t="0" r="254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2"/>
                    <a:srcRect/>
                    <a:stretch>
                      <a:fillRect/>
                    </a:stretch>
                  </pic:blipFill>
                  <pic:spPr>
                    <a:xfrm>
                      <a:off x="0" y="0"/>
                      <a:ext cx="6531610" cy="5695950"/>
                    </a:xfrm>
                    <a:prstGeom prst="rect">
                      <a:avLst/>
                    </a:prstGeom>
                    <a:noFill/>
                    <a:ln w="9525">
                      <a:noFill/>
                      <a:miter lim="800000"/>
                      <a:headEnd/>
                      <a:tailEnd/>
                    </a:ln>
                  </pic:spPr>
                </pic:pic>
              </a:graphicData>
            </a:graphic>
          </wp:inline>
        </w:drawing>
      </w:r>
    </w:p>
    <w:p>
      <w:pPr>
        <w:widowControl/>
        <w:jc w:val="left"/>
        <w:rPr>
          <w:rFonts w:asciiTheme="minorEastAsia" w:hAnsiTheme="minorEastAsia"/>
          <w:b/>
          <w:sz w:val="30"/>
          <w:szCs w:val="30"/>
        </w:rPr>
      </w:pPr>
      <w:r>
        <w:rPr>
          <w:rFonts w:asciiTheme="minorEastAsia" w:hAnsiTheme="minorEastAsia"/>
          <w:b/>
          <w:sz w:val="30"/>
          <w:szCs w:val="30"/>
        </w:rPr>
        <w:br w:type="page"/>
      </w:r>
    </w:p>
    <w:p>
      <w:pPr>
        <w:widowControl/>
        <w:jc w:val="left"/>
        <w:rPr>
          <w:rFonts w:asciiTheme="minorEastAsia" w:hAnsiTheme="minorEastAsia"/>
          <w:b/>
          <w:sz w:val="30"/>
          <w:szCs w:val="30"/>
        </w:rPr>
      </w:pPr>
    </w:p>
    <w:p>
      <w:pPr>
        <w:jc w:val="center"/>
        <w:rPr>
          <w:rFonts w:asciiTheme="minorEastAsia" w:hAnsiTheme="minorEastAsia"/>
          <w:b/>
          <w:sz w:val="30"/>
          <w:szCs w:val="30"/>
        </w:rPr>
      </w:pPr>
      <w:r>
        <w:rPr>
          <w:rFonts w:hint="eastAsia" w:asciiTheme="minorEastAsia" w:hAnsiTheme="minorEastAsia"/>
          <w:b/>
          <w:sz w:val="30"/>
          <w:szCs w:val="30"/>
        </w:rPr>
        <w:t>七、一般公共预算财政拨款“三公”经费支出决算表</w:t>
      </w:r>
    </w:p>
    <w:p>
      <w:pPr>
        <w:widowControl/>
        <w:jc w:val="left"/>
        <w:rPr>
          <w:rFonts w:asciiTheme="minorEastAsia" w:hAnsiTheme="minorEastAsia"/>
          <w:b/>
          <w:sz w:val="30"/>
          <w:szCs w:val="30"/>
        </w:rPr>
      </w:pPr>
      <w:r>
        <w:rPr>
          <w:szCs w:val="30"/>
        </w:rPr>
        <w:drawing>
          <wp:inline distT="0" distB="0" distL="0" distR="0">
            <wp:extent cx="6372225" cy="2266950"/>
            <wp:effectExtent l="19050" t="0" r="952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3"/>
                    <a:srcRect/>
                    <a:stretch>
                      <a:fillRect/>
                    </a:stretch>
                  </pic:blipFill>
                  <pic:spPr>
                    <a:xfrm>
                      <a:off x="0" y="0"/>
                      <a:ext cx="6372621" cy="2267091"/>
                    </a:xfrm>
                    <a:prstGeom prst="rect">
                      <a:avLst/>
                    </a:prstGeom>
                    <a:noFill/>
                    <a:ln w="9525">
                      <a:noFill/>
                      <a:miter lim="800000"/>
                      <a:headEnd/>
                      <a:tailEnd/>
                    </a:ln>
                  </pic:spPr>
                </pic:pic>
              </a:graphicData>
            </a:graphic>
          </wp:inline>
        </w:drawing>
      </w:r>
    </w:p>
    <w:p>
      <w:pPr>
        <w:widowControl/>
        <w:jc w:val="left"/>
        <w:rPr>
          <w:rFonts w:asciiTheme="minorEastAsia" w:hAnsiTheme="minorEastAsia"/>
          <w:b/>
          <w:sz w:val="30"/>
          <w:szCs w:val="30"/>
        </w:rPr>
      </w:pPr>
      <w:r>
        <w:rPr>
          <w:rFonts w:asciiTheme="minorEastAsia" w:hAnsiTheme="minorEastAsia"/>
          <w:b/>
          <w:sz w:val="30"/>
          <w:szCs w:val="30"/>
        </w:rPr>
        <w:br w:type="page"/>
      </w:r>
    </w:p>
    <w:p>
      <w:pPr>
        <w:jc w:val="center"/>
        <w:rPr>
          <w:rFonts w:asciiTheme="minorEastAsia" w:hAnsiTheme="minorEastAsia"/>
          <w:b/>
          <w:sz w:val="30"/>
          <w:szCs w:val="30"/>
        </w:rPr>
      </w:pPr>
      <w:r>
        <w:rPr>
          <w:rFonts w:hint="eastAsia" w:asciiTheme="minorEastAsia" w:hAnsiTheme="minorEastAsia"/>
          <w:b/>
          <w:sz w:val="30"/>
          <w:szCs w:val="30"/>
        </w:rPr>
        <w:t>八、政府性基金预算财政拨款收入支出决算表</w:t>
      </w:r>
      <w:r>
        <w:rPr>
          <w:rFonts w:hint="eastAsia"/>
          <w:szCs w:val="30"/>
        </w:rPr>
        <w:drawing>
          <wp:inline distT="0" distB="0" distL="0" distR="0">
            <wp:extent cx="6419850" cy="3238500"/>
            <wp:effectExtent l="1905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4"/>
                    <a:srcRect/>
                    <a:stretch>
                      <a:fillRect/>
                    </a:stretch>
                  </pic:blipFill>
                  <pic:spPr>
                    <a:xfrm>
                      <a:off x="0" y="0"/>
                      <a:ext cx="6427060" cy="3242137"/>
                    </a:xfrm>
                    <a:prstGeom prst="rect">
                      <a:avLst/>
                    </a:prstGeom>
                    <a:noFill/>
                    <a:ln w="9525">
                      <a:noFill/>
                      <a:miter lim="800000"/>
                      <a:headEnd/>
                      <a:tailEnd/>
                    </a:ln>
                  </pic:spPr>
                </pic:pic>
              </a:graphicData>
            </a:graphic>
          </wp:inline>
        </w:drawing>
      </w:r>
      <w:r>
        <w:rPr>
          <w:rFonts w:asciiTheme="minorEastAsia" w:hAnsiTheme="minorEastAsia"/>
          <w:b/>
          <w:sz w:val="30"/>
          <w:szCs w:val="30"/>
        </w:rPr>
        <w:br w:type="page"/>
      </w:r>
      <w:r>
        <w:rPr>
          <w:rFonts w:hint="eastAsia" w:ascii="黑体" w:hAnsi="黑体" w:eastAsia="黑体"/>
          <w:b/>
          <w:spacing w:val="-20"/>
          <w:sz w:val="36"/>
          <w:szCs w:val="36"/>
        </w:rPr>
        <w:t>第三部分 2016年大埔县银江镇人民政府决算情况说明</w:t>
      </w:r>
    </w:p>
    <w:p>
      <w:pPr>
        <w:pStyle w:val="17"/>
        <w:widowControl/>
        <w:numPr>
          <w:ilvl w:val="0"/>
          <w:numId w:val="5"/>
        </w:numPr>
        <w:spacing w:line="1267" w:lineRule="exact"/>
        <w:ind w:left="403" w:hanging="403"/>
        <w:jc w:val="both"/>
        <w:rPr>
          <w:rStyle w:val="25"/>
          <w:lang w:val="zh-CN"/>
        </w:rPr>
      </w:pPr>
      <w:r>
        <w:rPr>
          <w:rStyle w:val="25"/>
          <w:rFonts w:hint="eastAsia"/>
          <w:lang w:val="zh-CN"/>
        </w:rPr>
        <w:t>预算执行情况分析</w:t>
      </w:r>
    </w:p>
    <w:p>
      <w:pPr>
        <w:pStyle w:val="22"/>
        <w:widowControl/>
        <w:spacing w:line="624" w:lineRule="exact"/>
        <w:ind w:firstLine="624"/>
        <w:rPr>
          <w:rStyle w:val="15"/>
          <w:rFonts w:asciiTheme="minorEastAsia" w:hAnsiTheme="minorEastAsia" w:eastAsiaTheme="minorEastAsia"/>
          <w:b w:val="0"/>
          <w:lang w:val="zh-CN"/>
        </w:rPr>
      </w:pPr>
      <w:r>
        <w:rPr>
          <w:rStyle w:val="15"/>
          <w:rFonts w:hint="eastAsia" w:asciiTheme="minorEastAsia" w:hAnsiTheme="minorEastAsia" w:eastAsiaTheme="minorEastAsia"/>
          <w:b w:val="0"/>
          <w:lang w:val="zh-CN"/>
        </w:rPr>
        <w:t>2016年部门决算总收入1912.41万元，其中：财政拨款收入1872.41万元，占总收入的97.91%；其他收入40万元，占总收入的2.09%。2016年决算总收入比上年减少83.69万元，减少4.2%，主要原因是减少了</w:t>
      </w:r>
      <w:r>
        <w:rPr>
          <w:rStyle w:val="15"/>
          <w:rFonts w:asciiTheme="minorEastAsia" w:hAnsiTheme="minorEastAsia" w:eastAsiaTheme="minorEastAsia"/>
          <w:b w:val="0"/>
          <w:lang w:val="zh-CN"/>
        </w:rPr>
        <w:t>财政拨款收入比上年减少</w:t>
      </w:r>
      <w:r>
        <w:rPr>
          <w:rStyle w:val="15"/>
          <w:rFonts w:hint="eastAsia" w:asciiTheme="minorEastAsia" w:hAnsiTheme="minorEastAsia" w:eastAsiaTheme="minorEastAsia"/>
          <w:b w:val="0"/>
          <w:lang w:val="zh-CN"/>
        </w:rPr>
        <w:t>21.45</w:t>
      </w:r>
      <w:r>
        <w:rPr>
          <w:rStyle w:val="15"/>
          <w:rFonts w:asciiTheme="minorEastAsia" w:hAnsiTheme="minorEastAsia" w:eastAsiaTheme="minorEastAsia"/>
          <w:b w:val="0"/>
          <w:lang w:val="zh-CN"/>
        </w:rPr>
        <w:t>万元</w:t>
      </w:r>
      <w:r>
        <w:rPr>
          <w:rStyle w:val="15"/>
          <w:rFonts w:hint="eastAsia" w:asciiTheme="minorEastAsia" w:hAnsiTheme="minorEastAsia" w:eastAsiaTheme="minorEastAsia"/>
          <w:b w:val="0"/>
          <w:lang w:val="zh-CN"/>
        </w:rPr>
        <w:t>，其他收入减少62.24万元。</w:t>
      </w:r>
      <w:r>
        <w:rPr>
          <w:rStyle w:val="15"/>
          <w:rFonts w:asciiTheme="minorEastAsia" w:hAnsiTheme="minorEastAsia" w:eastAsiaTheme="minorEastAsia"/>
          <w:b w:val="0"/>
          <w:lang w:val="zh-CN"/>
        </w:rPr>
        <w:t>财政拨款收入</w:t>
      </w:r>
      <w:r>
        <w:rPr>
          <w:rStyle w:val="15"/>
          <w:rFonts w:hint="eastAsia" w:asciiTheme="minorEastAsia" w:hAnsiTheme="minorEastAsia" w:eastAsiaTheme="minorEastAsia"/>
          <w:b w:val="0"/>
          <w:lang w:val="zh-CN"/>
        </w:rPr>
        <w:t>减少主要原因是由于</w:t>
      </w:r>
      <w:r>
        <w:rPr>
          <w:rStyle w:val="15"/>
          <w:rFonts w:asciiTheme="minorEastAsia" w:hAnsiTheme="minorEastAsia" w:eastAsiaTheme="minorEastAsia"/>
          <w:b w:val="0"/>
          <w:lang w:val="zh-CN"/>
        </w:rPr>
        <w:t>专项工程陆续完工和工程决算完成</w:t>
      </w:r>
      <w:r>
        <w:rPr>
          <w:rStyle w:val="15"/>
          <w:rFonts w:hint="eastAsia" w:asciiTheme="minorEastAsia" w:hAnsiTheme="minorEastAsia" w:eastAsiaTheme="minorEastAsia"/>
          <w:b w:val="0"/>
          <w:lang w:val="zh-CN"/>
        </w:rPr>
        <w:t>，</w:t>
      </w:r>
      <w:r>
        <w:rPr>
          <w:rStyle w:val="15"/>
          <w:rFonts w:asciiTheme="minorEastAsia" w:hAnsiTheme="minorEastAsia" w:eastAsiaTheme="minorEastAsia"/>
          <w:b w:val="0"/>
          <w:lang w:val="zh-CN"/>
        </w:rPr>
        <w:t>减少以前年度专项工程的专项资金的拨款收入，</w:t>
      </w:r>
      <w:r>
        <w:rPr>
          <w:rStyle w:val="15"/>
          <w:rFonts w:hint="eastAsia" w:asciiTheme="minorEastAsia" w:hAnsiTheme="minorEastAsia" w:eastAsiaTheme="minorEastAsia"/>
          <w:b w:val="0"/>
          <w:lang w:val="zh-CN"/>
        </w:rPr>
        <w:t>如龙山文化公园工程、小城镇基础设施建设、公路改建等项目。</w:t>
      </w:r>
    </w:p>
    <w:p>
      <w:pPr>
        <w:pStyle w:val="5"/>
        <w:wordWrap w:val="0"/>
        <w:snapToGrid w:val="0"/>
        <w:spacing w:beforeAutospacing="0" w:afterAutospacing="0" w:line="600" w:lineRule="atLeast"/>
        <w:ind w:firstLine="600"/>
        <w:rPr>
          <w:rFonts w:ascii="Times New Roman" w:hAnsi="Times New Roman" w:eastAsia="宋体,微软雅黑" w:cs="Times New Roman"/>
          <w:color w:val="000000"/>
          <w:sz w:val="21"/>
          <w:szCs w:val="21"/>
        </w:rPr>
      </w:pPr>
      <w:r>
        <w:rPr>
          <w:rStyle w:val="15"/>
          <w:rFonts w:hint="eastAsia" w:asciiTheme="minorEastAsia" w:hAnsiTheme="minorEastAsia" w:eastAsiaTheme="minorEastAsia"/>
          <w:b w:val="0"/>
          <w:lang w:val="zh-CN"/>
        </w:rPr>
        <w:t>2016年部门决算总支出1912.41万元，比上年减少83.69万元，减少4.2%,其中：基本支出957.85万元，占总支出的50.1％，其中：工资福利支出</w:t>
      </w:r>
      <w:r>
        <w:rPr>
          <w:rStyle w:val="15"/>
          <w:rFonts w:hint="eastAsia" w:asciiTheme="minorEastAsia" w:hAnsiTheme="minorEastAsia" w:eastAsiaTheme="minorEastAsia"/>
          <w:b w:val="0"/>
        </w:rPr>
        <w:t>459.28</w:t>
      </w:r>
      <w:r>
        <w:rPr>
          <w:rStyle w:val="15"/>
          <w:rFonts w:hint="eastAsia" w:asciiTheme="minorEastAsia" w:hAnsiTheme="minorEastAsia" w:eastAsiaTheme="minorEastAsia"/>
          <w:b w:val="0"/>
          <w:lang w:val="zh-CN"/>
        </w:rPr>
        <w:t>万元，对个人和家庭的补助</w:t>
      </w:r>
      <w:r>
        <w:rPr>
          <w:rStyle w:val="15"/>
          <w:rFonts w:hint="eastAsia" w:asciiTheme="minorEastAsia" w:hAnsiTheme="minorEastAsia" w:eastAsiaTheme="minorEastAsia"/>
          <w:b w:val="0"/>
        </w:rPr>
        <w:t>238.64</w:t>
      </w:r>
      <w:r>
        <w:rPr>
          <w:rStyle w:val="15"/>
          <w:rFonts w:hint="eastAsia" w:asciiTheme="minorEastAsia" w:hAnsiTheme="minorEastAsia" w:eastAsiaTheme="minorEastAsia"/>
          <w:b w:val="0"/>
          <w:lang w:val="zh-CN"/>
        </w:rPr>
        <w:t>万元，商品和服务支出</w:t>
      </w:r>
      <w:r>
        <w:rPr>
          <w:rStyle w:val="15"/>
          <w:rFonts w:hint="eastAsia" w:asciiTheme="minorEastAsia" w:hAnsiTheme="minorEastAsia" w:eastAsiaTheme="minorEastAsia"/>
          <w:b w:val="0"/>
        </w:rPr>
        <w:t>203.34</w:t>
      </w:r>
      <w:r>
        <w:rPr>
          <w:rStyle w:val="15"/>
          <w:rFonts w:hint="eastAsia" w:asciiTheme="minorEastAsia" w:hAnsiTheme="minorEastAsia" w:eastAsiaTheme="minorEastAsia"/>
          <w:b w:val="0"/>
          <w:lang w:val="zh-CN"/>
        </w:rPr>
        <w:t>万元，其他资本性支出</w:t>
      </w:r>
      <w:r>
        <w:rPr>
          <w:rStyle w:val="15"/>
          <w:rFonts w:hint="eastAsia" w:asciiTheme="minorEastAsia" w:hAnsiTheme="minorEastAsia" w:eastAsiaTheme="minorEastAsia"/>
          <w:b w:val="0"/>
        </w:rPr>
        <w:t>16.59</w:t>
      </w:r>
      <w:r>
        <w:rPr>
          <w:rStyle w:val="15"/>
          <w:rFonts w:hint="eastAsia" w:asciiTheme="minorEastAsia" w:hAnsiTheme="minorEastAsia" w:eastAsiaTheme="minorEastAsia"/>
          <w:b w:val="0"/>
          <w:lang w:val="zh-CN"/>
        </w:rPr>
        <w:t>万元。基本支出相对去年增加，主要原因是</w:t>
      </w:r>
      <w:r>
        <w:rPr>
          <w:rStyle w:val="15"/>
          <w:rFonts w:asciiTheme="minorEastAsia" w:hAnsiTheme="minorEastAsia" w:eastAsiaTheme="minorEastAsia"/>
          <w:b w:val="0"/>
          <w:lang w:val="zh-CN"/>
        </w:rPr>
        <w:t>工资调整</w:t>
      </w:r>
      <w:r>
        <w:rPr>
          <w:rStyle w:val="15"/>
          <w:rFonts w:hint="eastAsia" w:asciiTheme="minorEastAsia" w:hAnsiTheme="minorEastAsia" w:eastAsiaTheme="minorEastAsia"/>
          <w:b w:val="0"/>
          <w:lang w:val="zh-CN"/>
        </w:rPr>
        <w:t>、</w:t>
      </w:r>
      <w:r>
        <w:rPr>
          <w:rStyle w:val="15"/>
          <w:rFonts w:asciiTheme="minorEastAsia" w:hAnsiTheme="minorEastAsia" w:eastAsiaTheme="minorEastAsia"/>
          <w:b w:val="0"/>
          <w:lang w:val="zh-CN"/>
        </w:rPr>
        <w:t>公用经费</w:t>
      </w:r>
      <w:r>
        <w:rPr>
          <w:rStyle w:val="15"/>
          <w:rFonts w:hint="eastAsia" w:asciiTheme="minorEastAsia" w:hAnsiTheme="minorEastAsia" w:eastAsiaTheme="minorEastAsia"/>
          <w:b w:val="0"/>
          <w:lang w:val="zh-CN"/>
        </w:rPr>
        <w:t>及人员的增加；项目支出954.56万元，占总支出的49.9％，相对去年减少，原因主要是</w:t>
      </w:r>
      <w:r>
        <w:rPr>
          <w:rStyle w:val="15"/>
          <w:rFonts w:asciiTheme="minorEastAsia" w:hAnsiTheme="minorEastAsia" w:eastAsiaTheme="minorEastAsia"/>
          <w:b w:val="0"/>
          <w:lang w:val="zh-CN"/>
        </w:rPr>
        <w:t>专项工程陆续完工和工程决算完成</w:t>
      </w:r>
      <w:r>
        <w:rPr>
          <w:rStyle w:val="15"/>
          <w:rFonts w:hint="eastAsia" w:asciiTheme="minorEastAsia" w:hAnsiTheme="minorEastAsia" w:eastAsiaTheme="minorEastAsia"/>
          <w:b w:val="0"/>
          <w:lang w:val="zh-CN"/>
        </w:rPr>
        <w:t>，</w:t>
      </w:r>
      <w:r>
        <w:rPr>
          <w:rStyle w:val="15"/>
          <w:rFonts w:asciiTheme="minorEastAsia" w:hAnsiTheme="minorEastAsia" w:eastAsiaTheme="minorEastAsia"/>
          <w:b w:val="0"/>
          <w:lang w:val="zh-CN"/>
        </w:rPr>
        <w:t>减少以前年度专项工程的专项资金</w:t>
      </w:r>
      <w:r>
        <w:rPr>
          <w:rStyle w:val="15"/>
          <w:rFonts w:hint="eastAsia" w:asciiTheme="minorEastAsia" w:hAnsiTheme="minorEastAsia" w:eastAsiaTheme="minorEastAsia"/>
          <w:b w:val="0"/>
          <w:lang w:val="zh-CN"/>
        </w:rPr>
        <w:t>支出。</w:t>
      </w:r>
    </w:p>
    <w:p>
      <w:pPr>
        <w:pStyle w:val="5"/>
        <w:wordWrap w:val="0"/>
        <w:snapToGrid w:val="0"/>
        <w:spacing w:beforeLines="150" w:beforeAutospacing="0" w:afterAutospacing="0" w:line="360" w:lineRule="auto"/>
        <w:rPr>
          <w:rFonts w:ascii="Times New Roman" w:hAnsi="Times New Roman" w:eastAsia="宋体,微软雅黑" w:cs="Times New Roman"/>
          <w:color w:val="000000"/>
          <w:sz w:val="21"/>
          <w:szCs w:val="21"/>
        </w:rPr>
      </w:pPr>
      <w:r>
        <w:rPr>
          <w:rFonts w:hint="eastAsia" w:ascii="仿宋_GB2312" w:hAnsi="Times New Roman" w:eastAsia="仿宋_GB2312" w:cs="Times New Roman"/>
          <w:b/>
          <w:bCs/>
          <w:color w:val="000000"/>
          <w:sz w:val="30"/>
          <w:szCs w:val="30"/>
        </w:rPr>
        <w:t>（一）“三公”经费决算情况说明</w:t>
      </w:r>
    </w:p>
    <w:p>
      <w:pPr>
        <w:pStyle w:val="5"/>
        <w:wordWrap w:val="0"/>
        <w:snapToGrid w:val="0"/>
        <w:spacing w:beforeAutospacing="0" w:afterAutospacing="0" w:line="360" w:lineRule="auto"/>
        <w:ind w:firstLine="600"/>
        <w:rPr>
          <w:rStyle w:val="15"/>
          <w:rFonts w:asciiTheme="minorEastAsia" w:hAnsiTheme="minorEastAsia" w:eastAsiaTheme="minorEastAsia"/>
          <w:b w:val="0"/>
          <w:lang w:val="zh-CN"/>
        </w:rPr>
      </w:pPr>
      <w:r>
        <w:rPr>
          <w:rStyle w:val="15"/>
          <w:rFonts w:hint="eastAsia" w:asciiTheme="minorEastAsia" w:hAnsiTheme="minorEastAsia" w:eastAsiaTheme="minorEastAsia"/>
          <w:b w:val="0"/>
          <w:lang w:val="zh-CN"/>
        </w:rPr>
        <w:t>2016年财政拨款“三公”经费决算总额26.6万元，其中，因公出国（境）费支出0万元，公务用车购置及运行维护费支出3万元，公务接待费支出23.6万元。</w:t>
      </w:r>
    </w:p>
    <w:p>
      <w:pPr>
        <w:pStyle w:val="5"/>
        <w:wordWrap w:val="0"/>
        <w:snapToGrid w:val="0"/>
        <w:spacing w:beforeAutospacing="0" w:afterAutospacing="0" w:line="360" w:lineRule="auto"/>
        <w:ind w:firstLine="600"/>
        <w:rPr>
          <w:rStyle w:val="15"/>
          <w:rFonts w:asciiTheme="minorEastAsia" w:hAnsiTheme="minorEastAsia" w:eastAsiaTheme="minorEastAsia"/>
          <w:b w:val="0"/>
          <w:lang w:val="zh-CN"/>
        </w:rPr>
      </w:pPr>
      <w:r>
        <w:rPr>
          <w:rStyle w:val="15"/>
          <w:rFonts w:hint="eastAsia" w:asciiTheme="minorEastAsia" w:hAnsiTheme="minorEastAsia" w:eastAsiaTheme="minorEastAsia"/>
          <w:b w:val="0"/>
          <w:lang w:val="zh-CN"/>
        </w:rPr>
        <w:t>2016年“三公”经费决算数比2015年决算数减少1.3万元，减少的主要原因是：认真贯彻落实中央"八项规定"和厉行节约要求，进一步从严控制"三公经费"开支。具体情况如下：</w:t>
      </w:r>
    </w:p>
    <w:p>
      <w:pPr>
        <w:pStyle w:val="5"/>
        <w:snapToGrid w:val="0"/>
        <w:spacing w:beforeAutospacing="0" w:afterAutospacing="0" w:line="360" w:lineRule="auto"/>
        <w:ind w:firstLine="640" w:firstLineChars="200"/>
        <w:rPr>
          <w:rStyle w:val="15"/>
          <w:rFonts w:asciiTheme="minorEastAsia" w:hAnsiTheme="minorEastAsia" w:eastAsiaTheme="minorEastAsia"/>
          <w:b w:val="0"/>
          <w:lang w:val="zh-CN"/>
        </w:rPr>
      </w:pPr>
      <w:r>
        <w:rPr>
          <w:rStyle w:val="15"/>
          <w:rFonts w:hint="eastAsia" w:asciiTheme="minorEastAsia" w:hAnsiTheme="minorEastAsia" w:eastAsiaTheme="minorEastAsia"/>
          <w:b w:val="0"/>
          <w:lang w:val="zh-CN"/>
        </w:rPr>
        <w:t>1</w:t>
      </w:r>
      <w:r>
        <w:rPr>
          <w:rFonts w:hint="eastAsia" w:ascii="仿宋_GB2312" w:hAnsi="Times New Roman" w:eastAsia="仿宋_GB2312" w:cs="Times New Roman"/>
          <w:color w:val="000000"/>
          <w:sz w:val="30"/>
          <w:szCs w:val="30"/>
        </w:rPr>
        <w:t>、</w:t>
      </w:r>
      <w:r>
        <w:rPr>
          <w:rStyle w:val="15"/>
          <w:rFonts w:hint="eastAsia" w:asciiTheme="minorEastAsia" w:hAnsiTheme="minorEastAsia" w:eastAsiaTheme="minorEastAsia"/>
          <w:b w:val="0"/>
          <w:lang w:val="zh-CN"/>
        </w:rPr>
        <w:t>因公出国（境）费：2016年无因公出国（境）费。</w:t>
      </w:r>
    </w:p>
    <w:p>
      <w:pPr>
        <w:pStyle w:val="5"/>
        <w:snapToGrid w:val="0"/>
        <w:spacing w:beforeAutospacing="0" w:afterAutospacing="0" w:line="360" w:lineRule="auto"/>
        <w:ind w:firstLine="640" w:firstLineChars="200"/>
        <w:rPr>
          <w:rStyle w:val="15"/>
          <w:rFonts w:asciiTheme="minorEastAsia" w:eastAsiaTheme="minorEastAsia"/>
          <w:b w:val="0"/>
          <w:bCs w:val="0"/>
          <w:lang w:val="zh-CN"/>
        </w:rPr>
      </w:pPr>
      <w:r>
        <w:rPr>
          <w:rStyle w:val="15"/>
          <w:rFonts w:hint="eastAsia" w:asciiTheme="minorEastAsia" w:hAnsiTheme="minorEastAsia" w:eastAsiaTheme="minorEastAsia"/>
          <w:b w:val="0"/>
          <w:lang w:val="zh-CN"/>
        </w:rPr>
        <w:t>2、公务用车购置及运行维护费：2016年银江镇年末公务用车保有量1辆，公务用车购置及运行维护费3万元。其中：购置费0万元，运行维护费3万元，主要用于保障日常公务工作产生的公务用车燃料费、维修费、过路过桥费、保险费等支出。</w:t>
      </w:r>
    </w:p>
    <w:p>
      <w:pPr>
        <w:pStyle w:val="5"/>
        <w:spacing w:before="0" w:beforeAutospacing="0" w:after="0" w:afterAutospacing="0"/>
        <w:ind w:firstLine="640" w:firstLineChars="200"/>
        <w:rPr>
          <w:rStyle w:val="15"/>
          <w:rFonts w:asciiTheme="minorEastAsia" w:hAnsiTheme="minorEastAsia" w:eastAsiaTheme="minorEastAsia"/>
          <w:b w:val="0"/>
          <w:lang w:val="zh-CN"/>
        </w:rPr>
      </w:pPr>
      <w:r>
        <w:rPr>
          <w:rStyle w:val="15"/>
          <w:rFonts w:hint="eastAsia" w:asciiTheme="minorEastAsia" w:hAnsiTheme="minorEastAsia" w:eastAsiaTheme="minorEastAsia"/>
          <w:b w:val="0"/>
          <w:lang w:val="zh-CN"/>
        </w:rPr>
        <w:t>3、公务接待费：2016年公务接待费开支23.6万元，比2015年决算减少1.3万元，降低5.22%，减少主要原因是</w:t>
      </w:r>
      <w:r>
        <w:rPr>
          <w:rStyle w:val="15"/>
          <w:rFonts w:asciiTheme="minorEastAsia" w:hAnsiTheme="minorEastAsia" w:eastAsiaTheme="minorEastAsia"/>
          <w:b w:val="0"/>
          <w:lang w:val="zh-CN"/>
        </w:rPr>
        <w:t>强化公务接待支出管理，严格遵守公务接待开支范围和开支标准，严格控制陪餐人数，公务接待费</w:t>
      </w:r>
      <w:r>
        <w:rPr>
          <w:rStyle w:val="15"/>
          <w:rFonts w:hint="eastAsia" w:asciiTheme="minorEastAsia" w:hAnsiTheme="minorEastAsia" w:eastAsiaTheme="minorEastAsia"/>
          <w:b w:val="0"/>
          <w:lang w:val="zh-CN"/>
        </w:rPr>
        <w:t>相对</w:t>
      </w:r>
      <w:r>
        <w:rPr>
          <w:rStyle w:val="15"/>
          <w:rFonts w:asciiTheme="minorEastAsia" w:hAnsiTheme="minorEastAsia" w:eastAsiaTheme="minorEastAsia"/>
          <w:b w:val="0"/>
          <w:lang w:val="zh-CN"/>
        </w:rPr>
        <w:t>下降。</w:t>
      </w:r>
      <w:r>
        <w:rPr>
          <w:rStyle w:val="15"/>
          <w:rFonts w:hint="eastAsia" w:asciiTheme="minorEastAsia" w:hAnsiTheme="minorEastAsia" w:eastAsiaTheme="minorEastAsia"/>
          <w:b w:val="0"/>
          <w:lang w:val="zh-CN"/>
        </w:rPr>
        <w:t>其中国内公务接待批次298次，总计4117人次。</w:t>
      </w:r>
    </w:p>
    <w:p>
      <w:pPr>
        <w:pStyle w:val="5"/>
        <w:snapToGrid w:val="0"/>
        <w:spacing w:beforeLines="150" w:beforeAutospacing="0" w:afterAutospacing="0" w:line="360" w:lineRule="auto"/>
        <w:rPr>
          <w:rFonts w:ascii="Times New Roman" w:hAnsi="Times New Roman" w:eastAsia="宋体,微软雅黑" w:cs="Times New Roman"/>
          <w:color w:val="000000"/>
          <w:sz w:val="21"/>
          <w:szCs w:val="21"/>
        </w:rPr>
      </w:pPr>
      <w:r>
        <w:rPr>
          <w:rFonts w:hint="eastAsia" w:ascii="仿宋_GB2312" w:hAnsi="Times New Roman" w:eastAsia="仿宋_GB2312" w:cs="Times New Roman"/>
          <w:b/>
          <w:bCs/>
          <w:color w:val="000000"/>
          <w:sz w:val="30"/>
          <w:szCs w:val="30"/>
        </w:rPr>
        <w:t>（二）机关运行经费支出情况</w:t>
      </w:r>
    </w:p>
    <w:p>
      <w:pPr>
        <w:pStyle w:val="5"/>
        <w:wordWrap w:val="0"/>
        <w:snapToGrid w:val="0"/>
        <w:spacing w:beforeAutospacing="0" w:afterAutospacing="0" w:line="360" w:lineRule="auto"/>
        <w:ind w:firstLine="600"/>
        <w:rPr>
          <w:rStyle w:val="15"/>
          <w:rFonts w:asciiTheme="minorEastAsia" w:hAnsiTheme="minorEastAsia" w:eastAsiaTheme="minorEastAsia"/>
          <w:b w:val="0"/>
          <w:lang w:val="zh-CN"/>
        </w:rPr>
      </w:pPr>
      <w:r>
        <w:rPr>
          <w:rStyle w:val="15"/>
          <w:rFonts w:hint="eastAsia" w:asciiTheme="minorEastAsia" w:hAnsiTheme="minorEastAsia" w:eastAsiaTheme="minorEastAsia"/>
          <w:b w:val="0"/>
          <w:lang w:val="zh-CN"/>
        </w:rPr>
        <w:t>2016年机关运行经费支出554.09万元，比去年增长47.8万元，增长9.44%。机关运行经费主要用于</w:t>
      </w:r>
      <w:r>
        <w:rPr>
          <w:rStyle w:val="15"/>
          <w:rFonts w:asciiTheme="minorEastAsia" w:hAnsiTheme="minorEastAsia" w:eastAsiaTheme="minorEastAsia"/>
          <w:b w:val="0"/>
          <w:lang w:val="zh-CN"/>
        </w:rPr>
        <w:t>办公费、水电费、邮电费和差旅费等维持部门正常运转经费支出。</w:t>
      </w:r>
    </w:p>
    <w:p>
      <w:pPr>
        <w:pStyle w:val="5"/>
        <w:snapToGrid w:val="0"/>
        <w:spacing w:beforeLines="150" w:beforeAutospacing="0" w:afterAutospacing="0" w:line="360" w:lineRule="auto"/>
        <w:rPr>
          <w:rFonts w:ascii="Times New Roman" w:hAnsi="Times New Roman" w:eastAsia="宋体,微软雅黑" w:cs="Times New Roman"/>
          <w:color w:val="000000"/>
          <w:sz w:val="21"/>
          <w:szCs w:val="21"/>
        </w:rPr>
      </w:pPr>
      <w:r>
        <w:rPr>
          <w:rFonts w:hint="eastAsia" w:ascii="仿宋_GB2312" w:hAnsi="Times New Roman" w:eastAsia="仿宋_GB2312" w:cs="Times New Roman"/>
          <w:b/>
          <w:bCs/>
          <w:color w:val="000000"/>
          <w:sz w:val="30"/>
          <w:szCs w:val="30"/>
        </w:rPr>
        <w:t>（三）政府采购支出情况</w:t>
      </w:r>
    </w:p>
    <w:p>
      <w:pPr>
        <w:pStyle w:val="5"/>
        <w:wordWrap w:val="0"/>
        <w:snapToGrid w:val="0"/>
        <w:spacing w:beforeAutospacing="0" w:afterAutospacing="0" w:line="360" w:lineRule="auto"/>
        <w:ind w:firstLine="600"/>
        <w:rPr>
          <w:rStyle w:val="15"/>
          <w:rFonts w:asciiTheme="minorEastAsia" w:hAnsiTheme="minorEastAsia" w:eastAsiaTheme="minorEastAsia"/>
          <w:b w:val="0"/>
          <w:bCs w:val="0"/>
          <w:lang w:val="zh-CN"/>
        </w:rPr>
      </w:pPr>
      <w:r>
        <w:rPr>
          <w:rStyle w:val="15"/>
          <w:rFonts w:hint="eastAsia" w:asciiTheme="minorEastAsia" w:hAnsiTheme="minorEastAsia" w:eastAsiaTheme="minorEastAsia"/>
          <w:b w:val="0"/>
          <w:bCs w:val="0"/>
          <w:lang w:val="zh-CN"/>
        </w:rPr>
        <w:t>2016年实行政府采购支出总额2.3万元，其中：政府采购货物支出2.3万元，无政府采购服务支出。</w:t>
      </w:r>
    </w:p>
    <w:p>
      <w:pPr>
        <w:pStyle w:val="5"/>
        <w:snapToGrid w:val="0"/>
        <w:spacing w:beforeLines="150" w:beforeAutospacing="0" w:afterAutospacing="0" w:line="360" w:lineRule="auto"/>
        <w:rPr>
          <w:rFonts w:ascii="仿宋_GB2312" w:hAnsi="Times New Roman" w:eastAsia="仿宋_GB2312" w:cs="Times New Roman"/>
          <w:b/>
          <w:bCs/>
          <w:color w:val="000000"/>
          <w:sz w:val="30"/>
          <w:szCs w:val="30"/>
        </w:rPr>
      </w:pPr>
      <w:r>
        <w:rPr>
          <w:rFonts w:hint="eastAsia" w:ascii="仿宋_GB2312" w:hAnsi="Times New Roman" w:eastAsia="仿宋_GB2312" w:cs="Times New Roman"/>
          <w:b/>
          <w:bCs/>
          <w:color w:val="000000"/>
          <w:sz w:val="30"/>
          <w:szCs w:val="30"/>
        </w:rPr>
        <w:t>（四）国有资产占用情况说明</w:t>
      </w:r>
    </w:p>
    <w:p>
      <w:pPr>
        <w:pStyle w:val="5"/>
        <w:wordWrap w:val="0"/>
        <w:snapToGrid w:val="0"/>
        <w:spacing w:beforeAutospacing="0" w:afterAutospacing="0" w:line="360" w:lineRule="auto"/>
        <w:ind w:firstLine="600"/>
        <w:rPr>
          <w:rStyle w:val="15"/>
          <w:rFonts w:asciiTheme="minorEastAsia" w:hAnsiTheme="minorEastAsia" w:eastAsiaTheme="minorEastAsia"/>
          <w:b w:val="0"/>
          <w:lang w:val="zh-CN"/>
        </w:rPr>
      </w:pPr>
      <w:r>
        <w:rPr>
          <w:rStyle w:val="15"/>
          <w:rFonts w:hint="eastAsia" w:asciiTheme="minorEastAsia" w:hAnsiTheme="minorEastAsia" w:eastAsiaTheme="minorEastAsia"/>
          <w:b w:val="0"/>
          <w:lang w:val="zh-CN"/>
        </w:rPr>
        <w:t>截至2016年12月31日，本部门共有车辆1辆，均为一般公务用车。无单位价值50万元以上的设备。</w:t>
      </w:r>
    </w:p>
    <w:p>
      <w:pPr>
        <w:pStyle w:val="29"/>
        <w:widowControl/>
        <w:spacing w:before="360" w:afterLines="100" w:line="240" w:lineRule="auto"/>
        <w:ind w:left="663" w:right="4167" w:hanging="663"/>
        <w:jc w:val="both"/>
        <w:rPr>
          <w:rStyle w:val="15"/>
          <w:sz w:val="30"/>
          <w:szCs w:val="30"/>
          <w:lang w:val="zh-CN"/>
        </w:rPr>
      </w:pPr>
      <w:r>
        <w:rPr>
          <w:rStyle w:val="25"/>
          <w:rFonts w:hint="eastAsia"/>
          <w:lang w:val="zh-CN"/>
        </w:rPr>
        <w:t>二、</w:t>
      </w:r>
      <w:r>
        <w:rPr>
          <w:rStyle w:val="15"/>
          <w:rFonts w:hint="eastAsia"/>
          <w:sz w:val="30"/>
          <w:szCs w:val="30"/>
          <w:lang w:val="zh-CN"/>
        </w:rPr>
        <w:t>专业名词解释</w:t>
      </w:r>
    </w:p>
    <w:p>
      <w:pPr>
        <w:pStyle w:val="5"/>
        <w:spacing w:before="0" w:beforeAutospacing="0" w:after="0" w:afterAutospacing="0" w:line="220" w:lineRule="atLeast"/>
        <w:ind w:firstLine="482"/>
        <w:rPr>
          <w:rStyle w:val="15"/>
          <w:rFonts w:asciiTheme="minorEastAsia" w:hAnsiTheme="minorEastAsia" w:eastAsiaTheme="minorEastAsia"/>
          <w:b w:val="0"/>
          <w:lang w:val="zh-CN"/>
        </w:rPr>
      </w:pPr>
      <w:r>
        <w:rPr>
          <w:rStyle w:val="15"/>
          <w:rFonts w:asciiTheme="minorEastAsia" w:hAnsiTheme="minorEastAsia" w:eastAsiaTheme="minorEastAsia"/>
          <w:b w:val="0"/>
          <w:lang w:val="zh-CN"/>
        </w:rPr>
        <w:t xml:space="preserve"> (一)财政拨款收入：指本年度从本级财政部门取得的财政拨款，包括一般公共预算财政拨款和政府性基金预算财政拨款。</w:t>
      </w:r>
    </w:p>
    <w:p>
      <w:pPr>
        <w:pStyle w:val="5"/>
        <w:spacing w:before="0" w:beforeAutospacing="0" w:after="0" w:afterAutospacing="0" w:line="220" w:lineRule="atLeast"/>
        <w:ind w:firstLine="482"/>
        <w:rPr>
          <w:rStyle w:val="15"/>
          <w:rFonts w:asciiTheme="minorEastAsia" w:hAnsiTheme="minorEastAsia" w:eastAsiaTheme="minorEastAsia"/>
          <w:b w:val="0"/>
          <w:lang w:val="zh-CN"/>
        </w:rPr>
      </w:pPr>
      <w:r>
        <w:rPr>
          <w:rStyle w:val="15"/>
          <w:rFonts w:asciiTheme="minorEastAsia" w:hAnsiTheme="minorEastAsia" w:eastAsiaTheme="minorEastAsia"/>
          <w:b w:val="0"/>
          <w:lang w:val="zh-CN"/>
        </w:rPr>
        <w:t>(二)事业收入：指事业单位开展专业业务活动及其辅助活动取得的收入；事业单位收到的财政专户实际核拨的教育收费等资金在此反映。</w:t>
      </w:r>
    </w:p>
    <w:p>
      <w:pPr>
        <w:pStyle w:val="5"/>
        <w:spacing w:before="0" w:beforeAutospacing="0" w:after="0" w:afterAutospacing="0" w:line="220" w:lineRule="atLeast"/>
        <w:ind w:firstLine="482"/>
        <w:rPr>
          <w:rStyle w:val="15"/>
          <w:rFonts w:asciiTheme="minorEastAsia" w:hAnsiTheme="minorEastAsia" w:eastAsiaTheme="minorEastAsia"/>
          <w:b w:val="0"/>
          <w:lang w:val="zh-CN"/>
        </w:rPr>
      </w:pPr>
      <w:r>
        <w:rPr>
          <w:rStyle w:val="15"/>
          <w:rFonts w:asciiTheme="minorEastAsia" w:hAnsiTheme="minorEastAsia" w:eastAsiaTheme="minorEastAsia"/>
          <w:b w:val="0"/>
          <w:lang w:val="zh-CN"/>
        </w:rPr>
        <w:t>(三)经营收入：指事业单位在专业业务活动及其辅助活动之外开展非独立核算经营活动取得的收入。</w:t>
      </w:r>
    </w:p>
    <w:p>
      <w:pPr>
        <w:pStyle w:val="5"/>
        <w:spacing w:before="0" w:beforeAutospacing="0" w:after="0" w:afterAutospacing="0" w:line="220" w:lineRule="atLeast"/>
        <w:ind w:firstLine="482"/>
        <w:rPr>
          <w:rStyle w:val="15"/>
          <w:rFonts w:asciiTheme="minorEastAsia" w:hAnsiTheme="minorEastAsia" w:eastAsiaTheme="minorEastAsia"/>
          <w:b w:val="0"/>
          <w:lang w:val="zh-CN"/>
        </w:rPr>
      </w:pPr>
      <w:r>
        <w:rPr>
          <w:rStyle w:val="15"/>
          <w:rFonts w:asciiTheme="minorEastAsia" w:hAnsiTheme="minorEastAsia" w:eastAsiaTheme="minorEastAsia"/>
          <w:b w:val="0"/>
          <w:lang w:val="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pacing w:before="0" w:beforeAutospacing="0" w:after="0" w:afterAutospacing="0" w:line="220" w:lineRule="atLeast"/>
        <w:ind w:firstLine="482"/>
        <w:rPr>
          <w:rStyle w:val="15"/>
          <w:rFonts w:asciiTheme="minorEastAsia" w:hAnsiTheme="minorEastAsia" w:eastAsiaTheme="minorEastAsia"/>
          <w:b w:val="0"/>
          <w:lang w:val="zh-CN"/>
        </w:rPr>
      </w:pPr>
      <w:r>
        <w:rPr>
          <w:rStyle w:val="15"/>
          <w:rFonts w:asciiTheme="minorEastAsia" w:hAnsiTheme="minorEastAsia" w:eastAsiaTheme="minorEastAsia"/>
          <w:b w:val="0"/>
          <w:lang w:val="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pacing w:before="0" w:beforeAutospacing="0" w:after="0" w:afterAutospacing="0" w:line="220" w:lineRule="atLeast"/>
        <w:ind w:firstLine="482"/>
        <w:rPr>
          <w:rStyle w:val="15"/>
          <w:rFonts w:asciiTheme="minorEastAsia" w:hAnsiTheme="minorEastAsia" w:eastAsiaTheme="minorEastAsia"/>
          <w:b w:val="0"/>
          <w:lang w:val="zh-CN"/>
        </w:rPr>
      </w:pPr>
      <w:r>
        <w:rPr>
          <w:rStyle w:val="15"/>
          <w:rFonts w:asciiTheme="minorEastAsia" w:hAnsiTheme="minorEastAsia" w:eastAsiaTheme="minorEastAsia"/>
          <w:b w:val="0"/>
          <w:lang w:val="zh-CN"/>
        </w:rPr>
        <w:t>(六)年初结转和结余：指单位上年结转本年使用的基本支出结转、项目支出结转和结余、经营结余。不包括事业单位净资产项下的事业基金和专用基金。</w:t>
      </w:r>
    </w:p>
    <w:p>
      <w:pPr>
        <w:pStyle w:val="5"/>
        <w:spacing w:before="0" w:beforeAutospacing="0" w:after="0" w:afterAutospacing="0" w:line="220" w:lineRule="atLeast"/>
        <w:ind w:firstLine="482"/>
        <w:rPr>
          <w:rStyle w:val="15"/>
          <w:rFonts w:asciiTheme="minorEastAsia" w:hAnsiTheme="minorEastAsia" w:eastAsiaTheme="minorEastAsia"/>
          <w:b w:val="0"/>
          <w:lang w:val="zh-CN"/>
        </w:rPr>
      </w:pPr>
      <w:r>
        <w:rPr>
          <w:rStyle w:val="15"/>
          <w:rFonts w:asciiTheme="minorEastAsia" w:hAnsiTheme="minorEastAsia" w:eastAsiaTheme="minorEastAsia"/>
          <w:b w:val="0"/>
          <w:lang w:val="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pacing w:before="0" w:beforeAutospacing="0" w:after="0" w:afterAutospacing="0" w:line="220" w:lineRule="atLeast"/>
        <w:ind w:firstLine="482"/>
        <w:rPr>
          <w:rStyle w:val="15"/>
          <w:rFonts w:asciiTheme="minorEastAsia" w:hAnsiTheme="minorEastAsia" w:eastAsiaTheme="minorEastAsia"/>
          <w:b w:val="0"/>
          <w:lang w:val="zh-CN"/>
        </w:rPr>
      </w:pPr>
      <w:r>
        <w:rPr>
          <w:rStyle w:val="15"/>
          <w:rFonts w:asciiTheme="minorEastAsia" w:hAnsiTheme="minorEastAsia" w:eastAsiaTheme="minorEastAsia"/>
          <w:b w:val="0"/>
          <w:lang w:val="zh-CN"/>
        </w:rPr>
        <w:t>(八)年末结转和结余：指单位结转下年的基本支出结转、项目支出结转和结余、经营结余。不包括事业单位净资产项下的事业基金和专用基金。</w:t>
      </w:r>
    </w:p>
    <w:p>
      <w:pPr>
        <w:pStyle w:val="5"/>
        <w:spacing w:before="0" w:beforeAutospacing="0" w:after="0" w:afterAutospacing="0" w:line="220" w:lineRule="atLeast"/>
        <w:ind w:firstLine="482"/>
        <w:rPr>
          <w:rStyle w:val="15"/>
          <w:rFonts w:asciiTheme="minorEastAsia" w:hAnsiTheme="minorEastAsia" w:eastAsiaTheme="minorEastAsia"/>
          <w:b w:val="0"/>
          <w:lang w:val="zh-CN"/>
        </w:rPr>
      </w:pPr>
      <w:r>
        <w:rPr>
          <w:rStyle w:val="15"/>
          <w:rFonts w:asciiTheme="minorEastAsia" w:hAnsiTheme="minorEastAsia" w:eastAsiaTheme="minorEastAsia"/>
          <w:b w:val="0"/>
          <w:lang w:val="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pacing w:before="0" w:beforeAutospacing="0" w:after="0" w:afterAutospacing="0" w:line="220" w:lineRule="atLeast"/>
        <w:ind w:firstLine="482"/>
        <w:rPr>
          <w:rStyle w:val="15"/>
          <w:rFonts w:asciiTheme="minorEastAsia" w:hAnsiTheme="minorEastAsia" w:eastAsiaTheme="minorEastAsia"/>
          <w:b w:val="0"/>
          <w:lang w:val="zh-CN"/>
        </w:rPr>
      </w:pPr>
      <w:r>
        <w:rPr>
          <w:rStyle w:val="15"/>
          <w:rFonts w:asciiTheme="minorEastAsia" w:hAnsiTheme="minorEastAsia" w:eastAsiaTheme="minorEastAsia"/>
          <w:b w:val="0"/>
          <w:lang w:val="zh-CN"/>
        </w:rPr>
        <w:t>(十)项目支出：指在基本支出之外为完成特定行政任务和事业发展目标所发生的支出。</w:t>
      </w:r>
    </w:p>
    <w:p>
      <w:pPr>
        <w:pStyle w:val="5"/>
        <w:spacing w:before="0" w:beforeAutospacing="0" w:after="0" w:afterAutospacing="0" w:line="220" w:lineRule="atLeast"/>
        <w:ind w:firstLine="482"/>
        <w:rPr>
          <w:rStyle w:val="15"/>
          <w:rFonts w:asciiTheme="minorEastAsia" w:hAnsiTheme="minorEastAsia" w:eastAsiaTheme="minorEastAsia"/>
          <w:b w:val="0"/>
          <w:lang w:val="zh-CN"/>
        </w:rPr>
      </w:pPr>
      <w:r>
        <w:rPr>
          <w:rStyle w:val="15"/>
          <w:rFonts w:asciiTheme="minorEastAsia" w:hAnsiTheme="minorEastAsia" w:eastAsiaTheme="minorEastAsia"/>
          <w:b w:val="0"/>
          <w:lang w:val="zh-CN"/>
        </w:rPr>
        <w:t>(十一)经营支出：指事业单位在专业业务活动及其辅助活动之外开展非独立核算经营活动发生的支出。</w:t>
      </w:r>
    </w:p>
    <w:p>
      <w:pPr>
        <w:pStyle w:val="5"/>
        <w:spacing w:before="0" w:beforeAutospacing="0" w:after="0" w:afterAutospacing="0" w:line="220" w:lineRule="atLeast"/>
        <w:ind w:firstLine="482"/>
        <w:rPr>
          <w:rStyle w:val="15"/>
          <w:rFonts w:asciiTheme="minorEastAsia" w:hAnsiTheme="minorEastAsia" w:eastAsiaTheme="minorEastAsia"/>
          <w:b w:val="0"/>
          <w:lang w:val="zh-CN"/>
        </w:rPr>
      </w:pPr>
      <w:r>
        <w:rPr>
          <w:rStyle w:val="15"/>
          <w:rFonts w:asciiTheme="minorEastAsia" w:hAnsiTheme="minorEastAsia" w:eastAsiaTheme="minorEastAsia"/>
          <w:b w:val="0"/>
          <w:lang w:val="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pacing w:before="0" w:beforeAutospacing="0" w:after="0" w:afterAutospacing="0" w:line="220" w:lineRule="atLeast"/>
        <w:ind w:firstLine="482"/>
        <w:rPr>
          <w:rStyle w:val="15"/>
          <w:rFonts w:asciiTheme="minorEastAsia" w:hAnsiTheme="minorEastAsia" w:eastAsiaTheme="minorEastAsia"/>
          <w:b w:val="0"/>
          <w:lang w:val="zh-CN"/>
        </w:rPr>
      </w:pPr>
      <w:r>
        <w:rPr>
          <w:rStyle w:val="15"/>
          <w:rFonts w:asciiTheme="minorEastAsia" w:hAnsiTheme="minorEastAsia" w:eastAsiaTheme="minorEastAsia"/>
          <w:b w:val="0"/>
          <w:lang w:val="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pacing w:before="0" w:beforeAutospacing="0" w:after="0" w:afterAutospacing="0" w:line="220" w:lineRule="atLeast"/>
        <w:ind w:firstLine="482"/>
        <w:rPr>
          <w:rStyle w:val="15"/>
          <w:rFonts w:asciiTheme="minorEastAsia" w:hAnsiTheme="minorEastAsia" w:eastAsiaTheme="minorEastAsia"/>
          <w:b w:val="0"/>
          <w:lang w:val="zh-CN"/>
        </w:rPr>
      </w:pPr>
      <w:r>
        <w:rPr>
          <w:rStyle w:val="15"/>
          <w:rFonts w:asciiTheme="minorEastAsia" w:hAnsiTheme="minorEastAsia" w:eastAsiaTheme="minorEastAsia"/>
          <w:b w:val="0"/>
          <w:lang w:val="zh-CN"/>
        </w:rPr>
        <w:t>(十四)工资福利支出(支出经济分类科目类级)：反映单位开支的在职职工和编制外长期聘用人员的各类劳动报酬，以及为上述人员缴纳的各项社会保险费等。</w:t>
      </w:r>
    </w:p>
    <w:p>
      <w:pPr>
        <w:pStyle w:val="5"/>
        <w:spacing w:before="0" w:beforeAutospacing="0" w:after="0" w:afterAutospacing="0" w:line="220" w:lineRule="atLeast"/>
        <w:ind w:firstLine="482"/>
        <w:rPr>
          <w:rStyle w:val="15"/>
          <w:rFonts w:asciiTheme="minorEastAsia" w:hAnsiTheme="minorEastAsia" w:eastAsiaTheme="minorEastAsia"/>
          <w:b w:val="0"/>
          <w:lang w:val="zh-CN"/>
        </w:rPr>
      </w:pPr>
      <w:r>
        <w:rPr>
          <w:rStyle w:val="15"/>
          <w:rFonts w:asciiTheme="minorEastAsia" w:hAnsiTheme="minorEastAsia" w:eastAsiaTheme="minorEastAsia"/>
          <w:b w:val="0"/>
          <w:lang w:val="zh-CN"/>
        </w:rPr>
        <w:t>(十五)商品和服务支出(支出经济分类科目类级)：反映单位购买商品和服务的支出(不包括用于购置固定资产的支出、战略性和应急储备支出)。</w:t>
      </w:r>
    </w:p>
    <w:p>
      <w:pPr>
        <w:pStyle w:val="5"/>
        <w:spacing w:before="0" w:beforeAutospacing="0" w:after="0" w:afterAutospacing="0" w:line="220" w:lineRule="atLeast"/>
        <w:ind w:firstLine="482"/>
        <w:rPr>
          <w:rStyle w:val="15"/>
          <w:rFonts w:asciiTheme="minorEastAsia" w:hAnsiTheme="minorEastAsia" w:eastAsiaTheme="minorEastAsia"/>
          <w:b w:val="0"/>
          <w:lang w:val="zh-CN"/>
        </w:rPr>
      </w:pPr>
      <w:r>
        <w:rPr>
          <w:rStyle w:val="15"/>
          <w:rFonts w:asciiTheme="minorEastAsia" w:hAnsiTheme="minorEastAsia" w:eastAsiaTheme="minorEastAsia"/>
          <w:b w:val="0"/>
          <w:lang w:val="zh-CN"/>
        </w:rPr>
        <w:t>(十六)对个人和家庭的补助(支出经济分类科目类级)：反映用于对个人和家庭的补助支出。</w:t>
      </w:r>
    </w:p>
    <w:p>
      <w:pPr>
        <w:pStyle w:val="5"/>
        <w:spacing w:before="0" w:beforeAutospacing="0" w:after="0" w:afterAutospacing="0" w:line="220" w:lineRule="atLeast"/>
        <w:ind w:firstLine="482"/>
        <w:rPr>
          <w:rStyle w:val="15"/>
          <w:rFonts w:asciiTheme="minorEastAsia" w:hAnsiTheme="minorEastAsia" w:eastAsiaTheme="minorEastAsia"/>
          <w:b w:val="0"/>
          <w:lang w:val="zh-CN"/>
        </w:rPr>
      </w:pPr>
      <w:r>
        <w:rPr>
          <w:rStyle w:val="15"/>
          <w:rFonts w:asciiTheme="minorEastAsia" w:hAnsiTheme="minorEastAsia" w:eastAsiaTheme="minorEastAsia"/>
          <w:b w:val="0"/>
          <w:lang w:val="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1"/>
        <w:widowControl/>
        <w:spacing w:before="58" w:line="619" w:lineRule="exact"/>
        <w:ind w:left="653" w:firstLine="0"/>
        <w:jc w:val="left"/>
        <w:rPr>
          <w:rStyle w:val="15"/>
          <w:rFonts w:asciiTheme="minorEastAsia" w:hAnsiTheme="minorEastAsia" w:eastAsiaTheme="minorEastAsia"/>
          <w:b w:val="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宋体,微软雅黑">
    <w:altName w:val="Arial Unicode MS"/>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65F82"/>
    <w:multiLevelType w:val="multilevel"/>
    <w:tmpl w:val="18965F8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F57CB9"/>
    <w:multiLevelType w:val="multilevel"/>
    <w:tmpl w:val="50F57CB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2D62B6"/>
    <w:multiLevelType w:val="multilevel"/>
    <w:tmpl w:val="592D62B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DF1638"/>
    <w:multiLevelType w:val="multilevel"/>
    <w:tmpl w:val="7DDF1638"/>
    <w:lvl w:ilvl="0" w:tentative="0">
      <w:start w:val="1"/>
      <w:numFmt w:val="japaneseCounting"/>
      <w:lvlText w:val="%1、"/>
      <w:lvlJc w:val="left"/>
      <w:pPr>
        <w:ind w:left="405" w:hanging="405"/>
      </w:pPr>
      <w:rPr>
        <w:rFonts w:hint="default" w:ascii="MingLiU" w:eastAsia="MingLiU" w:cs="MingLiU"/>
        <w:w w:val="70"/>
        <w:sz w:val="3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EA608C3"/>
    <w:multiLevelType w:val="multilevel"/>
    <w:tmpl w:val="7EA608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04DE"/>
    <w:rsid w:val="00031D80"/>
    <w:rsid w:val="00061AD6"/>
    <w:rsid w:val="00063DDD"/>
    <w:rsid w:val="00066432"/>
    <w:rsid w:val="000768D8"/>
    <w:rsid w:val="00081E0B"/>
    <w:rsid w:val="00091129"/>
    <w:rsid w:val="000926A3"/>
    <w:rsid w:val="000A2178"/>
    <w:rsid w:val="000B3819"/>
    <w:rsid w:val="000C58BD"/>
    <w:rsid w:val="000D3AAE"/>
    <w:rsid w:val="000F55C7"/>
    <w:rsid w:val="00114F11"/>
    <w:rsid w:val="001524A1"/>
    <w:rsid w:val="001547E7"/>
    <w:rsid w:val="0016259F"/>
    <w:rsid w:val="00165A04"/>
    <w:rsid w:val="0017488F"/>
    <w:rsid w:val="00175516"/>
    <w:rsid w:val="001962B2"/>
    <w:rsid w:val="001A14AF"/>
    <w:rsid w:val="001C284D"/>
    <w:rsid w:val="001F408B"/>
    <w:rsid w:val="002077A8"/>
    <w:rsid w:val="0022014E"/>
    <w:rsid w:val="00277C25"/>
    <w:rsid w:val="00290854"/>
    <w:rsid w:val="002942CF"/>
    <w:rsid w:val="00296E5D"/>
    <w:rsid w:val="002A0073"/>
    <w:rsid w:val="002A4A39"/>
    <w:rsid w:val="002C5204"/>
    <w:rsid w:val="002C6E42"/>
    <w:rsid w:val="002E36D3"/>
    <w:rsid w:val="002F4217"/>
    <w:rsid w:val="002F4231"/>
    <w:rsid w:val="00300FBA"/>
    <w:rsid w:val="00340234"/>
    <w:rsid w:val="00377242"/>
    <w:rsid w:val="003C01B9"/>
    <w:rsid w:val="003D4259"/>
    <w:rsid w:val="003E107F"/>
    <w:rsid w:val="003E4CC8"/>
    <w:rsid w:val="004425C2"/>
    <w:rsid w:val="004524C5"/>
    <w:rsid w:val="004757DD"/>
    <w:rsid w:val="004918ED"/>
    <w:rsid w:val="004B5B87"/>
    <w:rsid w:val="004E4403"/>
    <w:rsid w:val="004E6AAC"/>
    <w:rsid w:val="004E6D2A"/>
    <w:rsid w:val="00504D27"/>
    <w:rsid w:val="00512F0A"/>
    <w:rsid w:val="00527F0B"/>
    <w:rsid w:val="00530040"/>
    <w:rsid w:val="00540EC6"/>
    <w:rsid w:val="005452E3"/>
    <w:rsid w:val="005464A5"/>
    <w:rsid w:val="00563117"/>
    <w:rsid w:val="005751BF"/>
    <w:rsid w:val="005B63D6"/>
    <w:rsid w:val="005D3624"/>
    <w:rsid w:val="005D7857"/>
    <w:rsid w:val="005E4268"/>
    <w:rsid w:val="00602CF2"/>
    <w:rsid w:val="0060606B"/>
    <w:rsid w:val="00615CE9"/>
    <w:rsid w:val="00647B54"/>
    <w:rsid w:val="0069635F"/>
    <w:rsid w:val="006C6427"/>
    <w:rsid w:val="0071014F"/>
    <w:rsid w:val="0072288C"/>
    <w:rsid w:val="007476E1"/>
    <w:rsid w:val="0077149B"/>
    <w:rsid w:val="00772399"/>
    <w:rsid w:val="007806FE"/>
    <w:rsid w:val="00797D0C"/>
    <w:rsid w:val="007A28F6"/>
    <w:rsid w:val="007C2526"/>
    <w:rsid w:val="007D09B3"/>
    <w:rsid w:val="007D1B39"/>
    <w:rsid w:val="007D64E7"/>
    <w:rsid w:val="007E1C0A"/>
    <w:rsid w:val="007F17C2"/>
    <w:rsid w:val="00835CDF"/>
    <w:rsid w:val="00874EA8"/>
    <w:rsid w:val="008837C9"/>
    <w:rsid w:val="008A07DC"/>
    <w:rsid w:val="008A718E"/>
    <w:rsid w:val="008C2522"/>
    <w:rsid w:val="008E367C"/>
    <w:rsid w:val="00901320"/>
    <w:rsid w:val="009555B4"/>
    <w:rsid w:val="009A6888"/>
    <w:rsid w:val="009C3C7F"/>
    <w:rsid w:val="00A010F8"/>
    <w:rsid w:val="00A03429"/>
    <w:rsid w:val="00A5114F"/>
    <w:rsid w:val="00AE1C60"/>
    <w:rsid w:val="00B56F2E"/>
    <w:rsid w:val="00B704B7"/>
    <w:rsid w:val="00B86D73"/>
    <w:rsid w:val="00BB40CE"/>
    <w:rsid w:val="00BD6C96"/>
    <w:rsid w:val="00BE50E3"/>
    <w:rsid w:val="00BF40EE"/>
    <w:rsid w:val="00C13F05"/>
    <w:rsid w:val="00C17B88"/>
    <w:rsid w:val="00C20EE0"/>
    <w:rsid w:val="00C3194E"/>
    <w:rsid w:val="00C43EF6"/>
    <w:rsid w:val="00C57D6D"/>
    <w:rsid w:val="00C57D86"/>
    <w:rsid w:val="00C80B25"/>
    <w:rsid w:val="00C870C9"/>
    <w:rsid w:val="00CC3619"/>
    <w:rsid w:val="00CD04DE"/>
    <w:rsid w:val="00CD6CDF"/>
    <w:rsid w:val="00CE055C"/>
    <w:rsid w:val="00CE5117"/>
    <w:rsid w:val="00CF1DF1"/>
    <w:rsid w:val="00CF23C7"/>
    <w:rsid w:val="00D2611F"/>
    <w:rsid w:val="00D34507"/>
    <w:rsid w:val="00D55CE6"/>
    <w:rsid w:val="00D728FF"/>
    <w:rsid w:val="00DA2793"/>
    <w:rsid w:val="00DA42C1"/>
    <w:rsid w:val="00DC1E10"/>
    <w:rsid w:val="00DF47FA"/>
    <w:rsid w:val="00E077D0"/>
    <w:rsid w:val="00E242E2"/>
    <w:rsid w:val="00E51D05"/>
    <w:rsid w:val="00E61047"/>
    <w:rsid w:val="00E65C34"/>
    <w:rsid w:val="00E727B7"/>
    <w:rsid w:val="00E84ABB"/>
    <w:rsid w:val="00EB0E2B"/>
    <w:rsid w:val="00EB1BA0"/>
    <w:rsid w:val="00EB7674"/>
    <w:rsid w:val="00EC261F"/>
    <w:rsid w:val="00ED1157"/>
    <w:rsid w:val="00EE56BF"/>
    <w:rsid w:val="00F56EBE"/>
    <w:rsid w:val="00F62B6C"/>
    <w:rsid w:val="00F64E55"/>
    <w:rsid w:val="00F81C91"/>
    <w:rsid w:val="00F8603B"/>
    <w:rsid w:val="00F927D2"/>
    <w:rsid w:val="00FA0721"/>
    <w:rsid w:val="00FB24F6"/>
    <w:rsid w:val="00FD6000"/>
    <w:rsid w:val="083D38BC"/>
    <w:rsid w:val="0DF51976"/>
    <w:rsid w:val="151F3637"/>
    <w:rsid w:val="1C630F9A"/>
    <w:rsid w:val="38B0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列出段落1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14">
    <w:name w:val="p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Font Style31"/>
    <w:basedOn w:val="6"/>
    <w:uiPriority w:val="99"/>
    <w:rPr>
      <w:rFonts w:ascii="宋体" w:eastAsia="宋体" w:cs="宋体"/>
      <w:b/>
      <w:bCs/>
      <w:spacing w:val="20"/>
      <w:sz w:val="28"/>
      <w:szCs w:val="28"/>
    </w:rPr>
  </w:style>
  <w:style w:type="character" w:customStyle="1" w:styleId="16">
    <w:name w:val="Font Style51"/>
    <w:basedOn w:val="6"/>
    <w:uiPriority w:val="99"/>
    <w:rPr>
      <w:rFonts w:ascii="MingLiU" w:eastAsia="MingLiU" w:cs="MingLiU"/>
      <w:b/>
      <w:bCs/>
      <w:spacing w:val="-30"/>
      <w:w w:val="70"/>
      <w:sz w:val="34"/>
      <w:szCs w:val="34"/>
    </w:rPr>
  </w:style>
  <w:style w:type="paragraph" w:customStyle="1" w:styleId="17">
    <w:name w:val="Style5"/>
    <w:basedOn w:val="1"/>
    <w:uiPriority w:val="99"/>
    <w:pPr>
      <w:adjustRightInd w:val="0"/>
      <w:jc w:val="left"/>
    </w:pPr>
    <w:rPr>
      <w:rFonts w:ascii="黑体" w:eastAsia="黑体"/>
      <w:kern w:val="0"/>
      <w:sz w:val="24"/>
      <w:szCs w:val="24"/>
    </w:rPr>
  </w:style>
  <w:style w:type="character" w:customStyle="1" w:styleId="18">
    <w:name w:val="Font Style49"/>
    <w:basedOn w:val="6"/>
    <w:uiPriority w:val="99"/>
    <w:rPr>
      <w:rFonts w:ascii="宋体" w:eastAsia="宋体" w:cs="宋体"/>
      <w:b/>
      <w:bCs/>
      <w:spacing w:val="30"/>
      <w:sz w:val="26"/>
      <w:szCs w:val="26"/>
    </w:rPr>
  </w:style>
  <w:style w:type="paragraph" w:customStyle="1" w:styleId="19">
    <w:name w:val="Style9"/>
    <w:basedOn w:val="1"/>
    <w:uiPriority w:val="99"/>
    <w:pPr>
      <w:adjustRightInd w:val="0"/>
      <w:spacing w:line="624" w:lineRule="exact"/>
    </w:pPr>
    <w:rPr>
      <w:rFonts w:ascii="黑体" w:eastAsia="黑体"/>
      <w:kern w:val="0"/>
      <w:sz w:val="24"/>
      <w:szCs w:val="24"/>
    </w:rPr>
  </w:style>
  <w:style w:type="character" w:customStyle="1" w:styleId="20">
    <w:name w:val="Font Style50"/>
    <w:basedOn w:val="6"/>
    <w:uiPriority w:val="99"/>
    <w:rPr>
      <w:rFonts w:ascii="宋体" w:eastAsia="宋体" w:cs="宋体"/>
      <w:b/>
      <w:bCs/>
      <w:spacing w:val="30"/>
      <w:sz w:val="26"/>
      <w:szCs w:val="26"/>
    </w:rPr>
  </w:style>
  <w:style w:type="paragraph" w:customStyle="1" w:styleId="21">
    <w:name w:val="Style12"/>
    <w:basedOn w:val="1"/>
    <w:uiPriority w:val="99"/>
    <w:pPr>
      <w:adjustRightInd w:val="0"/>
      <w:spacing w:line="624" w:lineRule="exact"/>
      <w:ind w:firstLine="634"/>
    </w:pPr>
    <w:rPr>
      <w:rFonts w:ascii="黑体" w:eastAsia="黑体"/>
      <w:kern w:val="0"/>
      <w:sz w:val="24"/>
      <w:szCs w:val="24"/>
    </w:rPr>
  </w:style>
  <w:style w:type="paragraph" w:customStyle="1" w:styleId="22">
    <w:name w:val="Style14"/>
    <w:basedOn w:val="1"/>
    <w:qFormat/>
    <w:uiPriority w:val="99"/>
    <w:pPr>
      <w:adjustRightInd w:val="0"/>
      <w:spacing w:line="634" w:lineRule="exact"/>
      <w:ind w:firstLine="643"/>
      <w:jc w:val="left"/>
    </w:pPr>
    <w:rPr>
      <w:rFonts w:ascii="黑体" w:eastAsia="黑体"/>
      <w:kern w:val="0"/>
      <w:sz w:val="24"/>
      <w:szCs w:val="24"/>
    </w:rPr>
  </w:style>
  <w:style w:type="character" w:customStyle="1" w:styleId="23">
    <w:name w:val="Font Style32"/>
    <w:basedOn w:val="6"/>
    <w:uiPriority w:val="99"/>
    <w:rPr>
      <w:rFonts w:ascii="MingLiU" w:eastAsia="MingLiU" w:cs="MingLiU"/>
      <w:b/>
      <w:bCs/>
      <w:i/>
      <w:iCs/>
      <w:spacing w:val="10"/>
      <w:sz w:val="22"/>
      <w:szCs w:val="22"/>
    </w:rPr>
  </w:style>
  <w:style w:type="character" w:customStyle="1" w:styleId="24">
    <w:name w:val="Font Style38"/>
    <w:basedOn w:val="6"/>
    <w:uiPriority w:val="99"/>
    <w:rPr>
      <w:rFonts w:ascii="宋体" w:eastAsia="宋体" w:cs="宋体"/>
      <w:b/>
      <w:bCs/>
      <w:sz w:val="30"/>
      <w:szCs w:val="30"/>
    </w:rPr>
  </w:style>
  <w:style w:type="character" w:customStyle="1" w:styleId="25">
    <w:name w:val="Font Style52"/>
    <w:basedOn w:val="6"/>
    <w:uiPriority w:val="99"/>
    <w:rPr>
      <w:rFonts w:ascii="宋体" w:eastAsia="宋体" w:cs="宋体"/>
      <w:b/>
      <w:bCs/>
      <w:sz w:val="30"/>
      <w:szCs w:val="30"/>
    </w:rPr>
  </w:style>
  <w:style w:type="paragraph" w:customStyle="1" w:styleId="26">
    <w:name w:val="Style15"/>
    <w:basedOn w:val="1"/>
    <w:uiPriority w:val="99"/>
    <w:pPr>
      <w:adjustRightInd w:val="0"/>
      <w:jc w:val="left"/>
    </w:pPr>
    <w:rPr>
      <w:rFonts w:ascii="黑体" w:eastAsia="黑体"/>
      <w:kern w:val="0"/>
      <w:sz w:val="24"/>
      <w:szCs w:val="24"/>
    </w:rPr>
  </w:style>
  <w:style w:type="character" w:customStyle="1" w:styleId="27">
    <w:name w:val="Font Style35"/>
    <w:basedOn w:val="6"/>
    <w:uiPriority w:val="99"/>
    <w:rPr>
      <w:rFonts w:ascii="宋体" w:eastAsia="宋体" w:cs="宋体"/>
      <w:b/>
      <w:bCs/>
      <w:i/>
      <w:iCs/>
      <w:spacing w:val="90"/>
      <w:sz w:val="30"/>
      <w:szCs w:val="30"/>
    </w:rPr>
  </w:style>
  <w:style w:type="paragraph" w:customStyle="1" w:styleId="28">
    <w:name w:val="Style2"/>
    <w:basedOn w:val="1"/>
    <w:uiPriority w:val="99"/>
    <w:pPr>
      <w:adjustRightInd w:val="0"/>
      <w:jc w:val="left"/>
    </w:pPr>
    <w:rPr>
      <w:rFonts w:ascii="黑体" w:eastAsia="黑体"/>
      <w:kern w:val="0"/>
      <w:sz w:val="24"/>
      <w:szCs w:val="24"/>
    </w:rPr>
  </w:style>
  <w:style w:type="paragraph" w:customStyle="1" w:styleId="29">
    <w:name w:val="Style10"/>
    <w:basedOn w:val="1"/>
    <w:uiPriority w:val="99"/>
    <w:pPr>
      <w:adjustRightInd w:val="0"/>
      <w:spacing w:line="504" w:lineRule="exact"/>
      <w:ind w:hanging="662"/>
      <w:jc w:val="left"/>
    </w:pPr>
    <w:rPr>
      <w:rFonts w:ascii="黑体" w:eastAsia="黑体"/>
      <w:kern w:val="0"/>
      <w:sz w:val="24"/>
      <w:szCs w:val="24"/>
    </w:rPr>
  </w:style>
  <w:style w:type="paragraph" w:customStyle="1" w:styleId="30">
    <w:name w:val="Style13"/>
    <w:basedOn w:val="1"/>
    <w:uiPriority w:val="99"/>
    <w:pPr>
      <w:adjustRightInd w:val="0"/>
      <w:spacing w:line="624" w:lineRule="exact"/>
      <w:ind w:firstLine="134"/>
      <w:jc w:val="left"/>
    </w:pPr>
    <w:rPr>
      <w:rFonts w:ascii="黑体" w:eastAsia="黑体"/>
      <w:kern w:val="0"/>
      <w:sz w:val="24"/>
      <w:szCs w:val="24"/>
    </w:rPr>
  </w:style>
  <w:style w:type="paragraph" w:customStyle="1" w:styleId="31">
    <w:name w:val="Style1"/>
    <w:basedOn w:val="1"/>
    <w:uiPriority w:val="99"/>
    <w:pPr>
      <w:adjustRightInd w:val="0"/>
    </w:pPr>
    <w:rPr>
      <w:rFonts w:ascii="黑体" w:eastAsia="黑体"/>
      <w:kern w:val="0"/>
      <w:sz w:val="24"/>
      <w:szCs w:val="24"/>
    </w:rPr>
  </w:style>
  <w:style w:type="paragraph" w:styleId="32">
    <w:name w:val="List Paragraph"/>
    <w:basedOn w:val="1"/>
    <w:unhideWhenUsed/>
    <w:uiPriority w:val="99"/>
    <w:pPr>
      <w:ind w:firstLine="420" w:firstLineChars="200"/>
    </w:pPr>
  </w:style>
  <w:style w:type="character" w:customStyle="1" w:styleId="33">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734FB-40F0-4D09-8923-C3377390C5F5}">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21</Pages>
  <Words>577</Words>
  <Characters>3294</Characters>
  <Lines>27</Lines>
  <Paragraphs>7</Paragraphs>
  <TotalTime>0</TotalTime>
  <ScaleCrop>false</ScaleCrop>
  <LinksUpToDate>false</LinksUpToDate>
  <CharactersWithSpaces>3864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2016-10-21T02:22:00Z</dcterms:created>
  <dc:creator>Chinese User</dc:creator>
  <cp:lastModifiedBy>Administrator</cp:lastModifiedBy>
  <dcterms:modified xsi:type="dcterms:W3CDTF">2018-04-08T08:31:16Z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