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5C0D64" w:rsidRDefault="005C0D64">
      <w:pPr>
        <w:jc w:val="center"/>
        <w:rPr>
          <w:rFonts w:ascii="方正小标宋简体" w:eastAsia="方正小标宋简体" w:hAnsi="方正小标宋简体" w:cs="方正小标宋简体"/>
          <w:sz w:val="72"/>
          <w:szCs w:val="84"/>
        </w:rPr>
      </w:pPr>
      <w:r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2017</w:t>
      </w:r>
      <w:r w:rsidR="003F7E37"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年</w:t>
      </w:r>
    </w:p>
    <w:p w:rsidR="00505B4A" w:rsidRPr="005C0D64" w:rsidRDefault="005C0D64">
      <w:pPr>
        <w:jc w:val="center"/>
        <w:rPr>
          <w:rFonts w:ascii="方正小标宋简体" w:eastAsia="方正小标宋简体" w:hAnsi="方正小标宋简体" w:cs="方正小标宋简体"/>
          <w:sz w:val="72"/>
          <w:szCs w:val="84"/>
        </w:rPr>
      </w:pPr>
      <w:r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大埔县鱼苗</w:t>
      </w:r>
      <w:proofErr w:type="gramStart"/>
      <w:r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场</w:t>
      </w:r>
      <w:r w:rsidR="003F7E37"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部门</w:t>
      </w:r>
      <w:proofErr w:type="gramEnd"/>
      <w:r w:rsidR="003F7E37" w:rsidRPr="005C0D64">
        <w:rPr>
          <w:rFonts w:ascii="方正小标宋简体" w:eastAsia="方正小标宋简体" w:hAnsi="方正小标宋简体" w:cs="方正小标宋简体" w:hint="eastAsia"/>
          <w:sz w:val="72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353A8B" w:rsidRDefault="00353A8B" w:rsidP="00353A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353A8B" w:rsidRDefault="00353A8B" w:rsidP="00353A8B">
      <w:pPr>
        <w:jc w:val="center"/>
        <w:rPr>
          <w:rFonts w:ascii="黑体" w:eastAsia="黑体" w:hAnsi="黑体" w:cs="黑体"/>
          <w:sz w:val="44"/>
          <w:szCs w:val="44"/>
        </w:rPr>
      </w:pPr>
    </w:p>
    <w:p w:rsidR="00353A8B" w:rsidRDefault="00353A8B" w:rsidP="00353A8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Pr="00FF42E9">
        <w:rPr>
          <w:rFonts w:ascii="黑体" w:eastAsia="黑体" w:hAnsi="黑体" w:cs="黑体" w:hint="eastAsia"/>
          <w:sz w:val="32"/>
          <w:szCs w:val="32"/>
        </w:rPr>
        <w:t>大埔县鱼苗场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353A8B" w:rsidRDefault="00353A8B" w:rsidP="00353A8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353A8B" w:rsidRDefault="00353A8B" w:rsidP="00353A8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353A8B" w:rsidRDefault="00353A8B" w:rsidP="00353A8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2017年部门预算表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353A8B" w:rsidRDefault="00353A8B" w:rsidP="00353A8B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353A8B" w:rsidRDefault="00353A8B" w:rsidP="00353A8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2017年部门预算情况说明</w:t>
      </w:r>
    </w:p>
    <w:p w:rsidR="00353A8B" w:rsidRDefault="00353A8B" w:rsidP="00353A8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353A8B" w:rsidRDefault="00353A8B" w:rsidP="00353A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大埔县鱼苗场概况</w:t>
      </w:r>
    </w:p>
    <w:p w:rsidR="00353A8B" w:rsidRDefault="00353A8B" w:rsidP="00353A8B">
      <w:pPr>
        <w:rPr>
          <w:rFonts w:ascii="黑体" w:eastAsia="黑体" w:hAnsi="黑体" w:cs="黑体"/>
          <w:sz w:val="44"/>
          <w:szCs w:val="44"/>
        </w:rPr>
      </w:pPr>
    </w:p>
    <w:p w:rsidR="00353A8B" w:rsidRDefault="00353A8B" w:rsidP="00353A8B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353A8B" w:rsidRPr="00912106" w:rsidRDefault="00353A8B" w:rsidP="00353A8B">
      <w:pPr>
        <w:pStyle w:val="a6"/>
        <w:autoSpaceDE w:val="0"/>
        <w:autoSpaceDN w:val="0"/>
        <w:adjustRightInd w:val="0"/>
        <w:ind w:left="142" w:firstLineChars="150" w:firstLine="48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认真做好水产养殖技术推广工作。为推广普及水产养殖新技术，我场重点推广和普及了常规鱼高效养殖技术。常规鱼类方面是侧重推广了以草鱼为主养品种的高效养殖模式，使养殖效益提高了10%以上。另外，大力推广应用鱼用颗粒饲料及其投饵机，大大降低了养殖的劳动强度，降低了原料饲料的投喂量，提高了饲料的利用率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把好水产品投入品的进货关。</w:t>
      </w:r>
      <w:r w:rsidRPr="00912106">
        <w:rPr>
          <w:rFonts w:ascii="仿宋_GB2312" w:eastAsia="仿宋_GB2312" w:hint="eastAsia"/>
          <w:sz w:val="32"/>
          <w:szCs w:val="32"/>
        </w:rPr>
        <w:t>根据《中华人民共和国渔业法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》，《水产养殖质量安全管理规定》等有关法律法规，购进的投入品（鱼药、饲料等）必须到有合法经营权的门店进货，禁止使用无产品质量标准、无质量检验合格证、无生产许可证和产品批准文号的饲料、饲料添加剂。并索票据备查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把好生产过程控制。在生产管理过程中，严禁使用违禁药品，并做好水产养殖销售、水产养殖生产、水产养殖用药等日常管理登记工作。</w:t>
      </w:r>
      <w:r w:rsidRPr="00912106">
        <w:rPr>
          <w:rFonts w:ascii="仿宋_GB2312" w:eastAsia="仿宋_GB2312" w:hAnsi="仿宋_GB2312" w:cs="仿宋_GB2312" w:hint="eastAsia"/>
          <w:b/>
          <w:sz w:val="32"/>
          <w:szCs w:val="32"/>
        </w:rPr>
        <w:t>四是</w:t>
      </w:r>
      <w:r w:rsidRPr="00912106">
        <w:rPr>
          <w:rFonts w:ascii="仿宋_GB2312" w:eastAsia="仿宋_GB2312" w:hAnsi="仿宋_GB2312" w:cs="仿宋_GB2312" w:hint="eastAsia"/>
          <w:sz w:val="32"/>
          <w:szCs w:val="32"/>
        </w:rPr>
        <w:t>保证水产种苗生产质量。严格按照生产技术规程进行操作，外购鱼苗必须体格健壮，无疫病，并通过有检疫资质的部门检疫，获得检疫证书，并实行批次登记制度，登记内容要求详细准确。确保水产品质量和苗种质量安全。</w:t>
      </w:r>
    </w:p>
    <w:p w:rsidR="00353A8B" w:rsidRDefault="00353A8B" w:rsidP="00353A8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3A8B" w:rsidRDefault="00353A8B" w:rsidP="00353A8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二、机构设置</w:t>
      </w:r>
    </w:p>
    <w:p w:rsidR="00353A8B" w:rsidRPr="00112224" w:rsidRDefault="00353A8B" w:rsidP="00353A8B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（一）本部门预算为大埔县鱼苗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场部门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预算，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3A8B" w:rsidRDefault="00353A8B" w:rsidP="00353A8B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（二）本部门内设机构、人员构成情况：</w:t>
      </w:r>
    </w:p>
    <w:p w:rsidR="00353A8B" w:rsidRDefault="00353A8B" w:rsidP="00353A8B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大埔县鱼苗场位于大埔县湖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寮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镇三黎村（东凹下），成立于1962年，是一家公益一类事业单位，是我县唯一的水产种苗生产基地，主要职责是负责全县</w:t>
      </w:r>
      <w:r>
        <w:rPr>
          <w:rFonts w:ascii="仿宋_GB2312" w:eastAsia="仿宋_GB2312" w:hAnsi="宋体" w:cs="Times New Roman" w:hint="eastAsia"/>
          <w:sz w:val="32"/>
          <w:szCs w:val="32"/>
        </w:rPr>
        <w:t>鱼苗</w:t>
      </w:r>
      <w:r>
        <w:rPr>
          <w:rFonts w:ascii="仿宋_GB2312" w:eastAsia="仿宋_GB2312" w:cs="仿宋_GB2312" w:hint="eastAsia"/>
          <w:sz w:val="32"/>
          <w:szCs w:val="32"/>
        </w:rPr>
        <w:t>孵化、鱼苗生产、鱼苗供应，鱼类新品种、新技术的引进、</w:t>
      </w:r>
      <w:r>
        <w:rPr>
          <w:rFonts w:ascii="仿宋_GB2312" w:eastAsia="仿宋_GB2312" w:hAnsi="宋体" w:cs="Times New Roman" w:hint="eastAsia"/>
          <w:sz w:val="32"/>
          <w:szCs w:val="32"/>
        </w:rPr>
        <w:t>试验示范及推广</w:t>
      </w:r>
      <w:r>
        <w:rPr>
          <w:rFonts w:ascii="仿宋_GB2312" w:eastAsia="仿宋_GB2312" w:cs="仿宋_GB2312" w:hint="eastAsia"/>
          <w:sz w:val="32"/>
          <w:szCs w:val="32"/>
        </w:rPr>
        <w:t>应用</w:t>
      </w:r>
      <w:r>
        <w:rPr>
          <w:rFonts w:ascii="仿宋_GB2312" w:eastAsia="仿宋_GB2312" w:hAnsi="宋体" w:cs="Times New Roman" w:hint="eastAsia"/>
          <w:sz w:val="32"/>
          <w:szCs w:val="32"/>
        </w:rPr>
        <w:t>等，同时，还承担上级主管部门交办的其他工作任务。</w:t>
      </w:r>
    </w:p>
    <w:p w:rsidR="00353A8B" w:rsidRPr="008735B8" w:rsidRDefault="00353A8B" w:rsidP="00353A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大埔县鱼苗场共有事业编制5名，2017年实有在职人员4名，退休人员 10 名，遗属补助3人。 </w:t>
      </w:r>
    </w:p>
    <w:p w:rsidR="00353A8B" w:rsidRPr="00B3265F" w:rsidRDefault="00353A8B" w:rsidP="00353A8B">
      <w:pPr>
        <w:rPr>
          <w:rFonts w:ascii="仿宋_GB2312" w:eastAsia="仿宋_GB2312" w:hAnsi="仿宋_GB2312" w:cs="仿宋_GB2312"/>
          <w:sz w:val="32"/>
          <w:szCs w:val="32"/>
        </w:rPr>
      </w:pPr>
    </w:p>
    <w:p w:rsidR="00353A8B" w:rsidRDefault="00353A8B" w:rsidP="002863D7">
      <w:pPr>
        <w:rPr>
          <w:rFonts w:ascii="黑体" w:eastAsia="黑体" w:hAnsi="黑体" w:cs="黑体"/>
          <w:sz w:val="44"/>
          <w:szCs w:val="44"/>
        </w:rPr>
        <w:sectPr w:rsidR="00353A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Pr="00415474" w:rsidRDefault="003F7E37" w:rsidP="0041547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41547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1547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1547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1111" w:rsidP="0025506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752C" w:rsidRDefault="005A752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752C" w:rsidRDefault="005A752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752C" w:rsidRDefault="005A752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752C" w:rsidRDefault="005A752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752C" w:rsidRDefault="005A752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415474" w:rsidP="00680FE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680FED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CB2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15474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31.08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24.70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7B328B" w:rsidP="000C3AE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1547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41547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86D73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86D73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86D73"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86D73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86D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86D73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86D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86D73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86D73" w:rsidP="00C245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711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/>
    <w:tbl>
      <w:tblPr>
        <w:tblW w:w="5000" w:type="pct"/>
        <w:tblLook w:val="04A0"/>
      </w:tblPr>
      <w:tblGrid>
        <w:gridCol w:w="3989"/>
        <w:gridCol w:w="1108"/>
        <w:gridCol w:w="257"/>
        <w:gridCol w:w="1699"/>
        <w:gridCol w:w="1469"/>
      </w:tblGrid>
      <w:tr w:rsidR="00CF3C31" w:rsidRPr="00CF3C31" w:rsidTr="00362BEB">
        <w:trPr>
          <w:trHeight w:val="402"/>
        </w:trPr>
        <w:tc>
          <w:tcPr>
            <w:tcW w:w="2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A752C" w:rsidRDefault="005A752C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A752C" w:rsidRPr="00CF3C31" w:rsidRDefault="005A752C" w:rsidP="005A75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B40B0A">
        <w:trPr>
          <w:trHeight w:val="4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362BEB">
        <w:trPr>
          <w:trHeight w:val="402"/>
        </w:trPr>
        <w:tc>
          <w:tcPr>
            <w:tcW w:w="41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B40B0A">
        <w:trPr>
          <w:trHeight w:val="402"/>
        </w:trPr>
        <w:tc>
          <w:tcPr>
            <w:tcW w:w="2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26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362BEB">
        <w:trPr>
          <w:trHeight w:val="402"/>
        </w:trPr>
        <w:tc>
          <w:tcPr>
            <w:tcW w:w="2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CF3C31" w:rsidRDefault="00B40B0A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61.66</w:t>
            </w:r>
          </w:p>
        </w:tc>
        <w:tc>
          <w:tcPr>
            <w:tcW w:w="9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61.66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D6366D" w:rsidRDefault="00B40B0A" w:rsidP="00315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[213]农林水支出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D6366D" w:rsidRDefault="00B40B0A" w:rsidP="00315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[21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30104</w:t>
            </w: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</w:t>
            </w: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D6366D" w:rsidRDefault="00B40B0A" w:rsidP="00315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[208]社会保障和就业支出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D6366D" w:rsidRDefault="00B40B0A" w:rsidP="00315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[20805]行政事业单位离退休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B0A" w:rsidRPr="00CF3C31" w:rsidTr="00362BEB">
        <w:trPr>
          <w:trHeight w:val="390"/>
        </w:trPr>
        <w:tc>
          <w:tcPr>
            <w:tcW w:w="2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B0A" w:rsidRPr="00D6366D" w:rsidRDefault="00B40B0A" w:rsidP="00315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[2080502]事业单位离退休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D6366D" w:rsidRDefault="00B40B0A" w:rsidP="00172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6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0B0A" w:rsidRPr="00CF3C31" w:rsidRDefault="00B40B0A" w:rsidP="0059481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>
      <w:pPr>
        <w:rPr>
          <w:rFonts w:hint="eastAsia"/>
        </w:rPr>
      </w:pPr>
    </w:p>
    <w:p w:rsidR="00ED4BB4" w:rsidRDefault="00ED4BB4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A752C" w:rsidRPr="00DA497E" w:rsidRDefault="005A752C" w:rsidP="005A75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15474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61.66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C47A7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C47A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3.40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25.82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5.26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5047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E3F9C" w:rsidP="008E3F9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22.38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E3F9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10.90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E3F9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11.48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2315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>
      <w:pPr>
        <w:rPr>
          <w:rFonts w:hint="eastAsia"/>
        </w:rPr>
      </w:pPr>
    </w:p>
    <w:p w:rsidR="00857EAD" w:rsidRDefault="00857EAD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15474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C2441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A5023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5023F" w:rsidRPr="005628E5" w:rsidRDefault="00A5023F" w:rsidP="00A5023F">
      <w:pPr>
        <w:rPr>
          <w:sz w:val="18"/>
        </w:rPr>
      </w:pPr>
      <w:r w:rsidRPr="005628E5">
        <w:rPr>
          <w:rFonts w:hint="eastAsia"/>
          <w:sz w:val="18"/>
        </w:rPr>
        <w:t>注：本</w:t>
      </w:r>
      <w:r>
        <w:rPr>
          <w:rFonts w:hint="eastAsia"/>
          <w:sz w:val="18"/>
        </w:rPr>
        <w:t>单位</w:t>
      </w:r>
      <w:r w:rsidRPr="005628E5">
        <w:rPr>
          <w:rFonts w:hint="eastAsia"/>
          <w:sz w:val="18"/>
        </w:rPr>
        <w:t>无</w:t>
      </w:r>
      <w:r w:rsidRPr="00593FB8">
        <w:rPr>
          <w:rFonts w:hint="eastAsia"/>
          <w:sz w:val="18"/>
        </w:rPr>
        <w:t>一般公共预算</w:t>
      </w:r>
      <w:r w:rsidRPr="005628E5">
        <w:rPr>
          <w:rFonts w:hint="eastAsia"/>
          <w:sz w:val="18"/>
        </w:rPr>
        <w:t>项目支出</w:t>
      </w:r>
      <w:r>
        <w:rPr>
          <w:rFonts w:hint="eastAsia"/>
          <w:sz w:val="18"/>
        </w:rPr>
        <w:t>，本表为空</w:t>
      </w:r>
      <w:r w:rsidRPr="005628E5">
        <w:rPr>
          <w:rFonts w:hint="eastAsia"/>
          <w:sz w:val="18"/>
        </w:rPr>
        <w:t>。</w:t>
      </w:r>
    </w:p>
    <w:p w:rsidR="00505B4A" w:rsidRPr="00A5023F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15474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455F1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  <w:p w:rsidR="00455F1F" w:rsidRPr="00A04A53" w:rsidRDefault="00455F1F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415474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16ED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35DD9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6ED6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ED6" w:rsidRPr="000F3BAB" w:rsidRDefault="00516ED6" w:rsidP="00516E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注：我单位无政府性基金安排的支出，本表为空。</w:t>
            </w:r>
          </w:p>
        </w:tc>
      </w:tr>
    </w:tbl>
    <w:p w:rsidR="00505B4A" w:rsidRDefault="00505B4A">
      <w:pPr>
        <w:rPr>
          <w:rFonts w:hint="eastAsia"/>
        </w:rPr>
      </w:pPr>
    </w:p>
    <w:p w:rsidR="0092099C" w:rsidRDefault="0092099C"/>
    <w:tbl>
      <w:tblPr>
        <w:tblW w:w="8519" w:type="dxa"/>
        <w:tblInd w:w="93" w:type="dxa"/>
        <w:tblLayout w:type="fixed"/>
        <w:tblLook w:val="04A0"/>
      </w:tblPr>
      <w:tblGrid>
        <w:gridCol w:w="3198"/>
        <w:gridCol w:w="716"/>
        <w:gridCol w:w="716"/>
        <w:gridCol w:w="944"/>
        <w:gridCol w:w="484"/>
        <w:gridCol w:w="194"/>
        <w:gridCol w:w="463"/>
        <w:gridCol w:w="104"/>
        <w:gridCol w:w="484"/>
        <w:gridCol w:w="225"/>
        <w:gridCol w:w="991"/>
      </w:tblGrid>
      <w:tr w:rsidR="00A217B1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2D2007">
        <w:trPr>
          <w:trHeight w:val="533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415474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2017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2D2007">
        <w:trPr>
          <w:trHeight w:val="429"/>
        </w:trPr>
        <w:tc>
          <w:tcPr>
            <w:tcW w:w="6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2D2007">
        <w:trPr>
          <w:trHeight w:val="416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2D2007">
        <w:trPr>
          <w:trHeight w:val="640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2D2007">
        <w:trPr>
          <w:trHeight w:val="416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773F1" w:rsidRPr="00A217B1" w:rsidTr="002D2007">
        <w:trPr>
          <w:trHeight w:val="416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F1" w:rsidRPr="00A217B1" w:rsidRDefault="00F773F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F773F1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F773F1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F773F1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61.66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F773F1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F1" w:rsidRPr="00B2626C" w:rsidRDefault="00F773F1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[301]工资福利支出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F773F1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F1" w:rsidRPr="00B2626C" w:rsidRDefault="00F773F1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[30101]基本工资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25.82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25.82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DA497E" w:rsidRDefault="00F773F1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25.82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1" w:rsidRPr="00A217B1" w:rsidRDefault="00D92F13" w:rsidP="00D92F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[30102]津贴补贴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[30103]奖金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[30104]其他社会保障缴费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E4172E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住房公积金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[302]商品和服务支出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[30201]办公费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[30202]印刷费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[30204]手续费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[30205]水费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[30206]电费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[30207]邮电费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[30209]物业管理费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[30211]差旅费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[30213]维修（护）费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[30215]会议费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[30216]培训费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[30217]公务接待费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[30218]专用材料费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[30226]劳务费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[30227]委托业务费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[30228]工会经费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[30229]福利费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[30231]公务用车运行维护费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[30239]其他交通费用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[30299]其他商品和服务支出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[303]对个人和家庭的补助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22.38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[30301]离休费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[30302]退休费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11.48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[30305]生活补助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10.90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[30307]医疗费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[30309]奖励金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[30311]住房公积金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[30313]购房补贴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[30399]其他对个人和家庭的补助支出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>[310]其他资本性支出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92F13" w:rsidRPr="00A217B1" w:rsidTr="002D2007">
        <w:trPr>
          <w:trHeight w:val="429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13" w:rsidRPr="00B2626C" w:rsidRDefault="00D92F13" w:rsidP="005C5FE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26C">
              <w:rPr>
                <w:rFonts w:ascii="宋体" w:eastAsia="宋体" w:hAnsi="宋体" w:cs="宋体" w:hint="eastAsia"/>
                <w:kern w:val="0"/>
                <w:sz w:val="22"/>
              </w:rPr>
              <w:t xml:space="preserve">  [31002]办公设备购置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DA497E" w:rsidRDefault="00D92F13" w:rsidP="00EF00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EF00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F13" w:rsidRPr="00A217B1" w:rsidRDefault="00D92F13" w:rsidP="008750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</w:tbl>
    <w:p w:rsidR="00925C68" w:rsidRDefault="00925C68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92099C" w:rsidRDefault="0092099C">
      <w:pPr>
        <w:rPr>
          <w:rFonts w:hint="eastAsia"/>
        </w:rPr>
      </w:pPr>
    </w:p>
    <w:p w:rsidR="005D1ABE" w:rsidRDefault="005D1ABE">
      <w:pPr>
        <w:rPr>
          <w:rFonts w:hint="eastAsia"/>
        </w:rPr>
      </w:pPr>
    </w:p>
    <w:p w:rsidR="0092099C" w:rsidRDefault="0092099C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415474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1547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大埔县鱼苗场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3B7AF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3B7AF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D1AB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D1AB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D1AB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D1AB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D1AB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D1A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F7A59">
      <w:r w:rsidRPr="005628E5">
        <w:rPr>
          <w:rFonts w:hint="eastAsia"/>
          <w:sz w:val="18"/>
        </w:rPr>
        <w:t>注：本</w:t>
      </w:r>
      <w:r>
        <w:rPr>
          <w:rFonts w:hint="eastAsia"/>
          <w:sz w:val="18"/>
        </w:rPr>
        <w:t>单位</w:t>
      </w:r>
      <w:r w:rsidRPr="005628E5">
        <w:rPr>
          <w:rFonts w:hint="eastAsia"/>
          <w:sz w:val="18"/>
        </w:rPr>
        <w:t>无</w:t>
      </w:r>
      <w:r w:rsidRPr="00593FB8">
        <w:rPr>
          <w:rFonts w:hint="eastAsia"/>
          <w:sz w:val="18"/>
        </w:rPr>
        <w:t>预算</w:t>
      </w:r>
      <w:r w:rsidRPr="005628E5">
        <w:rPr>
          <w:rFonts w:hint="eastAsia"/>
          <w:sz w:val="18"/>
        </w:rPr>
        <w:t>项目支出</w:t>
      </w:r>
      <w:r>
        <w:rPr>
          <w:rFonts w:hint="eastAsia"/>
          <w:sz w:val="18"/>
        </w:rPr>
        <w:t>及其他支出预算，本表为空</w:t>
      </w:r>
      <w:r w:rsidRPr="005628E5">
        <w:rPr>
          <w:rFonts w:hint="eastAsia"/>
          <w:sz w:val="18"/>
        </w:rPr>
        <w:t>。</w:t>
      </w:r>
    </w:p>
    <w:p w:rsidR="00505B4A" w:rsidRDefault="00505B4A"/>
    <w:p w:rsidR="00944174" w:rsidRDefault="00944174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/>
    <w:p w:rsidR="005A752C" w:rsidRDefault="005A752C">
      <w:pPr>
        <w:rPr>
          <w:rFonts w:hint="eastAsia"/>
        </w:rPr>
      </w:pPr>
    </w:p>
    <w:p w:rsidR="007D11DC" w:rsidRDefault="007D11DC">
      <w:pPr>
        <w:rPr>
          <w:rFonts w:hint="eastAsia"/>
        </w:rPr>
      </w:pPr>
    </w:p>
    <w:p w:rsidR="007D11DC" w:rsidRDefault="007D11DC">
      <w:pPr>
        <w:rPr>
          <w:rFonts w:hint="eastAsia"/>
        </w:rPr>
      </w:pPr>
    </w:p>
    <w:p w:rsidR="007D11DC" w:rsidRDefault="007D11DC">
      <w:pPr>
        <w:rPr>
          <w:rFonts w:hint="eastAsia"/>
        </w:rPr>
      </w:pPr>
    </w:p>
    <w:p w:rsidR="007D11DC" w:rsidRDefault="007D11DC">
      <w:pPr>
        <w:rPr>
          <w:rFonts w:hint="eastAsia"/>
        </w:rPr>
      </w:pPr>
    </w:p>
    <w:p w:rsidR="007D11DC" w:rsidRDefault="007D11DC">
      <w:pPr>
        <w:rPr>
          <w:rFonts w:hint="eastAsia"/>
        </w:rPr>
      </w:pPr>
    </w:p>
    <w:p w:rsidR="007D11DC" w:rsidRDefault="007D11DC"/>
    <w:p w:rsidR="005A752C" w:rsidRDefault="005A752C"/>
    <w:p w:rsidR="005A752C" w:rsidRDefault="005A752C"/>
    <w:p w:rsidR="005A752C" w:rsidRDefault="005A752C"/>
    <w:p w:rsidR="00505B4A" w:rsidRDefault="003F7E37" w:rsidP="003C15C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</w:t>
      </w:r>
      <w:r w:rsidR="0041547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3C15C3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61.66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0720B">
        <w:rPr>
          <w:rFonts w:ascii="仿宋_GB2312" w:eastAsia="仿宋_GB2312" w:hAnsi="仿宋_GB2312" w:cs="仿宋_GB2312" w:hint="eastAsia"/>
          <w:sz w:val="32"/>
          <w:szCs w:val="32"/>
        </w:rPr>
        <w:t>17.43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D0720B">
        <w:rPr>
          <w:rFonts w:ascii="仿宋_GB2312" w:eastAsia="仿宋_GB2312" w:hAnsi="仿宋_GB2312" w:cs="仿宋_GB2312" w:hint="eastAsia"/>
          <w:sz w:val="32"/>
          <w:szCs w:val="32"/>
        </w:rPr>
        <w:t>39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B0FF6">
        <w:rPr>
          <w:rFonts w:ascii="仿宋_GB2312" w:eastAsia="仿宋_GB2312" w:hAnsiTheme="majorEastAsia" w:hint="eastAsia"/>
          <w:sz w:val="32"/>
          <w:szCs w:val="32"/>
        </w:rPr>
        <w:t>在职人员增加工作性津贴，在职人员住房补贴实行财政统发等政策性调资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FB0FF6">
        <w:rPr>
          <w:rFonts w:ascii="仿宋_GB2312" w:eastAsia="仿宋_GB2312" w:hAnsi="仿宋_GB2312" w:cs="仿宋_GB2312" w:hint="eastAsia"/>
          <w:sz w:val="32"/>
          <w:szCs w:val="32"/>
        </w:rPr>
        <w:t>61.66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FB0FF6">
        <w:rPr>
          <w:rFonts w:ascii="仿宋_GB2312" w:eastAsia="仿宋_GB2312" w:hAnsi="仿宋_GB2312" w:cs="仿宋_GB2312" w:hint="eastAsia"/>
          <w:sz w:val="32"/>
          <w:szCs w:val="32"/>
        </w:rPr>
        <w:t>17.43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FB0FF6">
        <w:rPr>
          <w:rFonts w:ascii="仿宋_GB2312" w:eastAsia="仿宋_GB2312" w:hAnsi="仿宋_GB2312" w:cs="仿宋_GB2312" w:hint="eastAsia"/>
          <w:sz w:val="32"/>
          <w:szCs w:val="32"/>
        </w:rPr>
        <w:t>39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B0FF6">
        <w:rPr>
          <w:rFonts w:ascii="仿宋_GB2312" w:eastAsia="仿宋_GB2312" w:hAnsiTheme="majorEastAsia" w:hint="eastAsia"/>
          <w:sz w:val="32"/>
          <w:szCs w:val="32"/>
        </w:rPr>
        <w:t>在职人员增加工作性津贴，在职人员住房补贴实行财政统发等政策性调资。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9D1C3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0.7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0.1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51546">
        <w:rPr>
          <w:rFonts w:ascii="仿宋_GB2312" w:eastAsia="仿宋_GB2312" w:cs="仿宋_GB2312" w:hint="eastAsia"/>
          <w:kern w:val="0"/>
          <w:sz w:val="32"/>
          <w:szCs w:val="32"/>
        </w:rPr>
        <w:t>按照厉行节约的要求严控经费支出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 w:rsidR="0037260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万元；公务用车购置及运行费</w:t>
      </w:r>
      <w:r w:rsidR="0037260D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37260D">
        <w:rPr>
          <w:rFonts w:ascii="仿宋_GB2312" w:eastAsia="仿宋_GB2312" w:hAnsi="仿宋_GB2312" w:cs="仿宋_GB2312" w:hint="eastAsia"/>
          <w:sz w:val="32"/>
          <w:szCs w:val="32"/>
        </w:rPr>
        <w:t>0.7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37260D">
        <w:rPr>
          <w:rFonts w:ascii="仿宋_GB2312" w:eastAsia="仿宋_GB2312" w:hAnsi="仿宋_GB2312" w:cs="仿宋_GB2312" w:hint="eastAsia"/>
          <w:sz w:val="32"/>
          <w:szCs w:val="32"/>
        </w:rPr>
        <w:t>0.1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37260D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37260D">
        <w:rPr>
          <w:rFonts w:ascii="仿宋_GB2312" w:eastAsia="仿宋_GB2312" w:cs="仿宋_GB2312" w:hint="eastAsia"/>
          <w:kern w:val="0"/>
          <w:sz w:val="32"/>
          <w:szCs w:val="32"/>
        </w:rPr>
        <w:t>严格控制公务接待费支出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C74BDB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C74BDB">
        <w:rPr>
          <w:rFonts w:ascii="仿宋_GB2312" w:eastAsia="仿宋_GB2312" w:hAnsi="仿宋_GB2312" w:cs="仿宋_GB2312" w:hint="eastAsia"/>
          <w:sz w:val="32"/>
          <w:szCs w:val="32"/>
        </w:rPr>
        <w:t>5.88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540C36">
        <w:rPr>
          <w:rFonts w:ascii="仿宋_GB2312" w:eastAsia="仿宋_GB2312" w:hAnsi="仿宋_GB2312" w:cs="仿宋_GB2312" w:hint="eastAsia"/>
          <w:sz w:val="32"/>
          <w:szCs w:val="32"/>
        </w:rPr>
        <w:t>10.37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540C36"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9F6501">
        <w:rPr>
          <w:rFonts w:ascii="仿宋_GB2312" w:eastAsia="仿宋_GB2312" w:cs="仿宋_GB2312" w:hint="eastAsia"/>
          <w:kern w:val="0"/>
          <w:sz w:val="32"/>
          <w:szCs w:val="32"/>
        </w:rPr>
        <w:t>按照厉行节约的要求，严控机关运行经费支出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D314CA">
        <w:rPr>
          <w:rFonts w:ascii="仿宋_GB2312" w:eastAsia="仿宋_GB2312" w:hAnsi="仿宋_GB2312" w:cs="仿宋_GB2312" w:hint="eastAsia"/>
          <w:sz w:val="32"/>
          <w:szCs w:val="32"/>
        </w:rPr>
        <w:t>3.14万元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，物业管理费</w:t>
      </w:r>
      <w:r w:rsidR="00D314CA">
        <w:rPr>
          <w:rFonts w:ascii="仿宋_GB2312" w:eastAsia="仿宋_GB2312" w:hAnsi="仿宋_GB2312" w:cs="仿宋_GB2312" w:hint="eastAsia"/>
          <w:sz w:val="32"/>
          <w:szCs w:val="32"/>
        </w:rPr>
        <w:t>2.04万元，公务接待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D314CA">
        <w:rPr>
          <w:rFonts w:ascii="仿宋_GB2312" w:eastAsia="仿宋_GB2312" w:hAnsi="仿宋_GB2312" w:cs="仿宋_GB2312" w:hint="eastAsia"/>
          <w:sz w:val="32"/>
          <w:szCs w:val="32"/>
        </w:rPr>
        <w:t>0.7万元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EC27C1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</w:t>
      </w:r>
      <w:r w:rsidR="00EC27C1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</w:t>
      </w:r>
      <w:r w:rsidR="00EC27C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E7408A" w:rsidRPr="00E7408A" w:rsidRDefault="00E7408A" w:rsidP="00E7408A">
      <w:pPr>
        <w:pStyle w:val="a6"/>
        <w:ind w:left="142" w:firstLineChars="150" w:firstLine="48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 w:rsidRPr="00E7408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截至2017年12月31日，本部门占有使用车辆情况为：共0辆，其中：领导干部用车0辆，一般公务用车0辆，2018年无购置计划。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3B13DC" w:rsidRPr="003B13DC" w:rsidRDefault="003B13DC" w:rsidP="003B13DC">
      <w:pPr>
        <w:pStyle w:val="a6"/>
        <w:ind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3B13DC"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3B13DC"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Pr="003B13DC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proofErr w:type="gramEnd"/>
      <w:r w:rsidRPr="003B13DC">
        <w:rPr>
          <w:rFonts w:ascii="仿宋_GB2312" w:eastAsia="仿宋_GB2312" w:hAnsi="仿宋_GB2312" w:cs="仿宋_GB2312" w:hint="eastAsia"/>
          <w:sz w:val="32"/>
          <w:szCs w:val="32"/>
        </w:rPr>
        <w:t>预算绩效信息公开的有关工作情况。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721" w:rsidRPr="003B13DC" w:rsidRDefault="005017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944174" w:rsidRPr="00FE5C35" w:rsidRDefault="00944174" w:rsidP="0094417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E5C35">
        <w:rPr>
          <w:rFonts w:ascii="仿宋_GB2312" w:eastAsia="仿宋_GB2312" w:hAnsi="仿宋_GB2312" w:cs="仿宋_GB2312"/>
          <w:sz w:val="32"/>
          <w:szCs w:val="32"/>
        </w:rPr>
        <w:t>1、一般公共预算：指对以税收为主体的财政收入，安排用于保障和改善民生、推动经济社会发展、维护国家安全、维持国家机构正常运转等方面的收支预算。</w:t>
      </w:r>
      <w:r w:rsidRPr="00FE5C35"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FE5C35">
        <w:rPr>
          <w:rFonts w:ascii="仿宋_GB2312" w:eastAsia="仿宋_GB2312" w:hAnsi="仿宋_GB2312" w:cs="仿宋_GB2312"/>
          <w:sz w:val="32"/>
          <w:szCs w:val="32"/>
        </w:rPr>
        <w:t>2、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  <w:r w:rsidRPr="00FE5C35"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FE5C35">
        <w:rPr>
          <w:rFonts w:ascii="仿宋_GB2312" w:eastAsia="仿宋_GB2312" w:hAnsi="仿宋_GB2312" w:cs="仿宋_GB2312"/>
          <w:sz w:val="32"/>
          <w:szCs w:val="32"/>
        </w:rPr>
        <w:t>3、非税收入：指除税收和政府债务收入以外，由各级国家机关、事业单位、代行政府职能的社会团体及其他组织依法利用国家权力、政府信誉、国有资源（资产）所有者权益等取得的各项收入，包括行政事业性收费、政府性基金、罚没收入、国有资源（资产）有偿使用收入、国有资本收益、彩票公益金收入、特许经营收入、以政府名义接受的捐赠收入、政府收入的利息收入等。</w:t>
      </w:r>
    </w:p>
    <w:p w:rsidR="00505B4A" w:rsidRPr="00944174" w:rsidRDefault="00505B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RPr="00944174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9A" w:rsidRDefault="00EB299A" w:rsidP="005C0D64">
      <w:r>
        <w:separator/>
      </w:r>
    </w:p>
  </w:endnote>
  <w:endnote w:type="continuationSeparator" w:id="0">
    <w:p w:rsidR="00EB299A" w:rsidRDefault="00EB299A" w:rsidP="005C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9A" w:rsidRDefault="00EB299A" w:rsidP="005C0D64">
      <w:r>
        <w:separator/>
      </w:r>
    </w:p>
  </w:footnote>
  <w:footnote w:type="continuationSeparator" w:id="0">
    <w:p w:rsidR="00EB299A" w:rsidRDefault="00EB299A" w:rsidP="005C0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71111"/>
    <w:rsid w:val="00076337"/>
    <w:rsid w:val="000A5401"/>
    <w:rsid w:val="000C3537"/>
    <w:rsid w:val="000C3AEC"/>
    <w:rsid w:val="00112AF4"/>
    <w:rsid w:val="0012315D"/>
    <w:rsid w:val="001A6815"/>
    <w:rsid w:val="001D5700"/>
    <w:rsid w:val="00211504"/>
    <w:rsid w:val="0024119B"/>
    <w:rsid w:val="00250470"/>
    <w:rsid w:val="00255063"/>
    <w:rsid w:val="002863D7"/>
    <w:rsid w:val="002A2F9B"/>
    <w:rsid w:val="002D2007"/>
    <w:rsid w:val="00315928"/>
    <w:rsid w:val="0034152F"/>
    <w:rsid w:val="00353A8B"/>
    <w:rsid w:val="00362BEB"/>
    <w:rsid w:val="0037260D"/>
    <w:rsid w:val="003B13DC"/>
    <w:rsid w:val="003B7AF2"/>
    <w:rsid w:val="003C15C3"/>
    <w:rsid w:val="003E68EA"/>
    <w:rsid w:val="003F7E37"/>
    <w:rsid w:val="00415474"/>
    <w:rsid w:val="00455F1F"/>
    <w:rsid w:val="004576D6"/>
    <w:rsid w:val="0048089B"/>
    <w:rsid w:val="00501721"/>
    <w:rsid w:val="00505B4A"/>
    <w:rsid w:val="00507CB2"/>
    <w:rsid w:val="00516ED6"/>
    <w:rsid w:val="00540C36"/>
    <w:rsid w:val="0055586D"/>
    <w:rsid w:val="0059481A"/>
    <w:rsid w:val="005A752C"/>
    <w:rsid w:val="005B31BD"/>
    <w:rsid w:val="005C0D64"/>
    <w:rsid w:val="005D1ABE"/>
    <w:rsid w:val="005F7A59"/>
    <w:rsid w:val="005F7D91"/>
    <w:rsid w:val="006255B8"/>
    <w:rsid w:val="00643145"/>
    <w:rsid w:val="00680639"/>
    <w:rsid w:val="00680FED"/>
    <w:rsid w:val="006A5712"/>
    <w:rsid w:val="006E0F56"/>
    <w:rsid w:val="007B328B"/>
    <w:rsid w:val="007D11DC"/>
    <w:rsid w:val="00854799"/>
    <w:rsid w:val="00857EAD"/>
    <w:rsid w:val="008C31CC"/>
    <w:rsid w:val="008E3F9C"/>
    <w:rsid w:val="0092099C"/>
    <w:rsid w:val="00925C68"/>
    <w:rsid w:val="00944174"/>
    <w:rsid w:val="009B4F54"/>
    <w:rsid w:val="009D1C32"/>
    <w:rsid w:val="009F6501"/>
    <w:rsid w:val="00A04A53"/>
    <w:rsid w:val="00A217B1"/>
    <w:rsid w:val="00A5023F"/>
    <w:rsid w:val="00A50396"/>
    <w:rsid w:val="00A56614"/>
    <w:rsid w:val="00A84CE6"/>
    <w:rsid w:val="00A85362"/>
    <w:rsid w:val="00A976B6"/>
    <w:rsid w:val="00AD34F6"/>
    <w:rsid w:val="00B33320"/>
    <w:rsid w:val="00B40B0A"/>
    <w:rsid w:val="00B45B4A"/>
    <w:rsid w:val="00B51546"/>
    <w:rsid w:val="00B9630B"/>
    <w:rsid w:val="00BD5277"/>
    <w:rsid w:val="00BD7887"/>
    <w:rsid w:val="00BF50CA"/>
    <w:rsid w:val="00C21FBE"/>
    <w:rsid w:val="00C2441F"/>
    <w:rsid w:val="00C2452A"/>
    <w:rsid w:val="00C47A7B"/>
    <w:rsid w:val="00C74BDB"/>
    <w:rsid w:val="00C87A8E"/>
    <w:rsid w:val="00CC4F9A"/>
    <w:rsid w:val="00CC5BD6"/>
    <w:rsid w:val="00CF3C31"/>
    <w:rsid w:val="00D0003E"/>
    <w:rsid w:val="00D0720B"/>
    <w:rsid w:val="00D314CA"/>
    <w:rsid w:val="00D92F13"/>
    <w:rsid w:val="00D96247"/>
    <w:rsid w:val="00DA497E"/>
    <w:rsid w:val="00DA5605"/>
    <w:rsid w:val="00DE587E"/>
    <w:rsid w:val="00E35DD9"/>
    <w:rsid w:val="00E4172E"/>
    <w:rsid w:val="00E7408A"/>
    <w:rsid w:val="00E86D73"/>
    <w:rsid w:val="00E90570"/>
    <w:rsid w:val="00EA3A29"/>
    <w:rsid w:val="00EA4F11"/>
    <w:rsid w:val="00EB299A"/>
    <w:rsid w:val="00EC27C1"/>
    <w:rsid w:val="00ED4BB4"/>
    <w:rsid w:val="00EF0020"/>
    <w:rsid w:val="00F773F1"/>
    <w:rsid w:val="00F83FBF"/>
    <w:rsid w:val="00FB0FF6"/>
    <w:rsid w:val="00FD5DF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C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C0D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C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C0D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53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019A8-84DF-41A7-9847-8939E63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108</cp:revision>
  <cp:lastPrinted>2018-02-09T07:39:00Z</cp:lastPrinted>
  <dcterms:created xsi:type="dcterms:W3CDTF">2018-03-30T01:37:00Z</dcterms:created>
  <dcterms:modified xsi:type="dcterms:W3CDTF">2018-04-10T02:02:00Z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