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p>
    <w:p/>
    <w:p/>
    <w:p/>
    <w:p/>
    <w:p/>
    <w:p/>
    <w:p/>
    <w:p/>
    <w:p/>
    <w:p/>
    <w:p>
      <w:pPr>
        <w:jc w:val="center"/>
      </w:pPr>
    </w:p>
    <w:p>
      <w:pPr>
        <w:jc w:val="center"/>
      </w:pPr>
    </w:p>
    <w:p>
      <w:pPr>
        <w:jc w:val="center"/>
      </w:pPr>
    </w:p>
    <w:p>
      <w:pPr>
        <w:jc w:val="center"/>
      </w:pPr>
    </w:p>
    <w:p>
      <w:pPr>
        <w:jc w:val="center"/>
        <w:rPr>
          <w:b/>
          <w:sz w:val="36"/>
          <w:szCs w:val="36"/>
        </w:rPr>
      </w:pPr>
    </w:p>
    <w:p>
      <w:pPr>
        <w:jc w:val="center"/>
        <w:rPr>
          <w:rFonts w:hint="eastAsia" w:ascii="仿宋_GB2312" w:hAnsi="仿宋_GB2312" w:eastAsia="仿宋_GB2312" w:cs="仿宋_GB2312"/>
          <w:b/>
          <w:sz w:val="32"/>
          <w:szCs w:val="32"/>
        </w:rPr>
      </w:pPr>
      <w:r>
        <w:rPr>
          <w:rFonts w:hint="eastAsia"/>
          <w:b/>
          <w:sz w:val="36"/>
          <w:szCs w:val="36"/>
        </w:rPr>
        <w:t xml:space="preserve"> </w:t>
      </w:r>
      <w:r>
        <w:rPr>
          <w:rFonts w:hint="eastAsia" w:ascii="仿宋_GB2312" w:hAnsi="仿宋_GB2312" w:eastAsia="仿宋_GB2312" w:cs="仿宋_GB2312"/>
          <w:b/>
          <w:sz w:val="32"/>
          <w:szCs w:val="32"/>
        </w:rPr>
        <w:t>2015年度广州海珠（大埔）产业转移工业园管委会部门决算</w:t>
      </w:r>
    </w:p>
    <w:p>
      <w:pPr>
        <w:jc w:val="center"/>
        <w:rPr>
          <w:b/>
          <w:sz w:val="30"/>
          <w:szCs w:val="30"/>
        </w:rPr>
      </w:pPr>
      <w:r>
        <w:rPr>
          <w:b/>
          <w:sz w:val="28"/>
          <w:szCs w:val="28"/>
        </w:rPr>
        <w:br w:type="page"/>
      </w:r>
      <w:r>
        <w:rPr>
          <w:rFonts w:hint="eastAsia"/>
          <w:b/>
          <w:sz w:val="30"/>
          <w:szCs w:val="30"/>
        </w:rPr>
        <w:t>目录</w:t>
      </w:r>
    </w:p>
    <w:p>
      <w:pPr>
        <w:jc w:val="center"/>
        <w:rPr>
          <w:b/>
          <w:sz w:val="30"/>
          <w:szCs w:val="30"/>
        </w:rPr>
      </w:pPr>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  2015年广州海珠（大埔）产业转移工业园管委会基本情况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   2015年广州海珠（大埔）产业转移工业园管委会部门决算表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rPr>
          <w:sz w:val="28"/>
          <w:szCs w:val="28"/>
        </w:rPr>
      </w:pPr>
    </w:p>
    <w:p>
      <w:pPr>
        <w:numPr>
          <w:ilvl w:val="0"/>
          <w:numId w:val="1"/>
        </w:numP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 xml:space="preserve">  2015年广州海珠（大埔）产业转移工业园管委会部门决算</w:t>
      </w:r>
      <w:r>
        <w:rPr>
          <w:rFonts w:hint="eastAsia" w:ascii="仿宋_GB2312" w:hAnsi="仿宋_GB2312" w:eastAsia="仿宋_GB2312" w:cs="仿宋_GB2312"/>
          <w:b/>
          <w:sz w:val="32"/>
          <w:szCs w:val="32"/>
          <w:lang w:eastAsia="zh-CN"/>
        </w:rPr>
        <w:t>情况说明</w:t>
      </w:r>
    </w:p>
    <w:p>
      <w:pPr>
        <w:numPr>
          <w:ilvl w:val="0"/>
          <w:numId w:val="1"/>
        </w:numP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 xml:space="preserve">  名词解释</w:t>
      </w:r>
    </w:p>
    <w:p>
      <w:pPr>
        <w:numPr>
          <w:ilvl w:val="0"/>
          <w:numId w:val="0"/>
        </w:numPr>
        <w:rPr>
          <w:rFonts w:hint="eastAsia"/>
          <w:b/>
          <w:sz w:val="30"/>
          <w:szCs w:val="30"/>
          <w:lang w:eastAsia="zh-CN"/>
        </w:rPr>
      </w:pPr>
    </w:p>
    <w:p>
      <w:pPr>
        <w:widowControl/>
        <w:jc w:val="left"/>
        <w:rPr>
          <w:b/>
          <w:sz w:val="28"/>
          <w:szCs w:val="28"/>
        </w:rPr>
      </w:pPr>
    </w:p>
    <w:p>
      <w:pPr>
        <w:rPr>
          <w:rFonts w:hint="eastAsia" w:ascii="仿宋_GB2312" w:hAnsi="仿宋_GB2312" w:eastAsia="仿宋_GB2312" w:cs="仿宋_GB2312"/>
          <w:b/>
          <w:sz w:val="32"/>
          <w:szCs w:val="32"/>
        </w:rPr>
      </w:pPr>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 2015年广州海珠（大埔）产业转移工业园管委会基本情况</w:t>
      </w:r>
    </w:p>
    <w:p>
      <w:pPr>
        <w:rPr>
          <w:b/>
          <w:sz w:val="28"/>
          <w:szCs w:val="28"/>
        </w:rPr>
      </w:pPr>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一、部门</w:t>
      </w:r>
      <w:r>
        <w:rPr>
          <w:rFonts w:hint="eastAsia" w:ascii="仿宋_GB2312" w:hAnsi="仿宋_GB2312" w:eastAsia="仿宋_GB2312" w:cs="仿宋_GB2312"/>
          <w:b/>
          <w:sz w:val="32"/>
          <w:szCs w:val="32"/>
          <w:lang w:eastAsia="zh-CN"/>
        </w:rPr>
        <w:t>主要</w:t>
      </w:r>
      <w:r>
        <w:rPr>
          <w:rFonts w:hint="eastAsia" w:ascii="仿宋_GB2312" w:hAnsi="仿宋_GB2312" w:eastAsia="仿宋_GB2312" w:cs="仿宋_GB2312"/>
          <w:b/>
          <w:sz w:val="32"/>
          <w:szCs w:val="32"/>
        </w:rPr>
        <w:t>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（一）2014年8月13日，根据大埔县机构编制委员会批准（埔机编字［2014］19号），设立广州海珠（大埔）产业转移工业园管委会，定为县人民政府直属正科级、公益一类事业单位。</w:t>
      </w:r>
    </w:p>
    <w:p>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海珠（大埔）产业转移工业园管委会的主要职能是：一，指导监督入园企业积极贯彻执行党和国家的方针、政策和法律、法规；二，引导企业贯彻国家和省、市、县产业政策，落实《广东省工业产业结构调整方案》；三，制定实施产业转移工业园的发展规划和工作计划；负责承接项目入园的相关工作；四，负责组织规划和实施建设产业转移工业园的各项基础设施和公用设施；五，负责招商引资工作；六，协助企业申请办理各项优惠政策的落实工作；七，构建为企业开展科研、合作、电子商务等活动的公共服务平台和支撑体系；八，负责产业转移工业园区内环境保护和安全生产工作；九，负责产业转移工业园区内企业有关统计工作；十，负责产业园区人力资源开发和人才培训、职业技术教育、劳动就业管理、社会保障、新技术新工艺引进和应用、科研知识产权保护等各项管理工作；十一，配合、协调有关职能部门在产业转移工业园开展工作；十二，预提县委、县政府和上级行政主管部门交办的其他工作事项。</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color w:val="000000"/>
          <w:sz w:val="32"/>
          <w:szCs w:val="32"/>
        </w:rPr>
        <w:t>机构人员情况</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广州海珠（大埔）产业转移工业园管委会事业编制16名，下设综合计财股、招商服务股、规划基建股、经济运行股、人力资源股等5个内设机构。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2015年末共有主任、副主任各一名，事业编制人员16 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本单位没有下属下单位。</w:t>
      </w:r>
    </w:p>
    <w:p>
      <w:pPr>
        <w:rPr>
          <w:b/>
          <w:sz w:val="28"/>
          <w:szCs w:val="28"/>
        </w:rPr>
      </w:pPr>
    </w:p>
    <w:p>
      <w:pPr>
        <w:rPr>
          <w:b/>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560" w:firstLineChars="200"/>
        <w:rPr>
          <w:sz w:val="28"/>
          <w:szCs w:val="28"/>
        </w:rPr>
      </w:pPr>
    </w:p>
    <w:p>
      <w:pPr>
        <w:ind w:firstLine="560" w:firstLineChars="200"/>
        <w:rPr>
          <w:sz w:val="28"/>
          <w:szCs w:val="28"/>
        </w:rPr>
      </w:pPr>
    </w:p>
    <w:p>
      <w:pPr>
        <w:rPr>
          <w:b/>
          <w:sz w:val="28"/>
          <w:szCs w:val="28"/>
        </w:rPr>
      </w:pPr>
      <w:r>
        <w:rPr>
          <w:rFonts w:hint="eastAsia"/>
          <w:b/>
          <w:sz w:val="28"/>
          <w:szCs w:val="28"/>
        </w:rPr>
        <w:t>第二部2015年广州海珠（大埔）产业转移工业园管委会部门决算表</w:t>
      </w:r>
    </w:p>
    <w:p>
      <w:pPr>
        <w:ind w:left="3464" w:leftChars="458" w:hanging="2502" w:hangingChars="890"/>
        <w:jc w:val="center"/>
        <w:rPr>
          <w:b/>
          <w:sz w:val="28"/>
          <w:szCs w:val="28"/>
        </w:rPr>
      </w:pPr>
    </w:p>
    <w:tbl>
      <w:tblPr>
        <w:tblStyle w:val="7"/>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Pr>
              <w:widowControl/>
              <w:rPr>
                <w:rFonts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公开01表</w:t>
            </w:r>
          </w:p>
        </w:tc>
      </w:tr>
      <w:tr>
        <w:tblPrEx>
          <w:tblLayout w:type="fixed"/>
          <w:tblCellMar>
            <w:top w:w="0" w:type="dxa"/>
            <w:left w:w="108" w:type="dxa"/>
            <w:bottom w:w="0" w:type="dxa"/>
            <w:right w:w="108" w:type="dxa"/>
          </w:tblCellMar>
        </w:tblPrEx>
        <w:trPr>
          <w:trHeight w:val="300" w:hRule="atLeast"/>
        </w:trPr>
        <w:tc>
          <w:tcPr>
            <w:tcW w:w="2567" w:type="dxa"/>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广州海珠（大埔）产业转移工业园管委会</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74"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2693"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6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216"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39" w:hRule="atLeast"/>
        </w:trPr>
        <w:tc>
          <w:tcPr>
            <w:tcW w:w="4410" w:type="dxa"/>
            <w:gridSpan w:val="3"/>
            <w:tcBorders>
              <w:top w:val="single" w:color="auto" w:sz="8" w:space="0"/>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4678" w:type="dxa"/>
            <w:gridSpan w:val="3"/>
            <w:tcBorders>
              <w:top w:val="single" w:color="auto" w:sz="8" w:space="0"/>
              <w:left w:val="nil"/>
              <w:bottom w:val="single" w:color="auto" w:sz="4" w:space="0"/>
              <w:right w:val="single" w:color="000000"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c>
          <w:tcPr>
            <w:tcW w:w="2693" w:type="dxa"/>
            <w:tcBorders>
              <w:top w:val="nil"/>
              <w:left w:val="nil"/>
              <w:bottom w:val="single" w:color="auto" w:sz="4" w:space="0"/>
              <w:right w:val="single" w:color="auto" w:sz="4" w:space="0"/>
            </w:tcBorders>
            <w:shd w:val="clear" w:color="auto" w:fill="FFFFFF"/>
            <w:vAlign w:val="center"/>
          </w:tcPr>
          <w:p>
            <w:pPr>
              <w:widowControl/>
              <w:ind w:right="315" w:rightChars="150"/>
              <w:jc w:val="center"/>
              <w:rPr>
                <w:rFonts w:ascii="宋体" w:hAnsi="宋体" w:cs="宋体"/>
                <w:kern w:val="0"/>
                <w:sz w:val="24"/>
              </w:rPr>
            </w:pPr>
            <w:r>
              <w:rPr>
                <w:rFonts w:hint="eastAsia" w:ascii="宋体" w:hAnsi="宋体" w:cs="宋体"/>
                <w:kern w:val="0"/>
                <w:sz w:val="24"/>
              </w:rPr>
              <w:t>项    目</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决算数</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074"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69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1216"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一、财政拨款收入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54.89</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80.91</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二、上级补助收入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三、事业收入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四、经营收入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五、附属单位上缴收入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六、其他收入</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27.5</w:t>
            </w:r>
          </w:p>
        </w:tc>
        <w:tc>
          <w:tcPr>
            <w:tcW w:w="2693"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4"/>
              </w:rPr>
              <w:t>……</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kern w:val="0"/>
                <w:sz w:val="24"/>
                <w:lang w:eastAsia="zh-CN"/>
              </w:rPr>
            </w:pPr>
            <w:r>
              <w:rPr>
                <w:rFonts w:hint="eastAsia" w:ascii="宋体" w:hAnsi="宋体" w:cs="宋体"/>
                <w:kern w:val="0"/>
                <w:sz w:val="24"/>
                <w:lang w:eastAsia="zh-CN"/>
              </w:rPr>
              <w:t>七、医疗卫生与计划生育支出</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1.48</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82.39</w:t>
            </w:r>
          </w:p>
        </w:tc>
        <w:tc>
          <w:tcPr>
            <w:tcW w:w="2693"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1216" w:type="dxa"/>
            <w:tcBorders>
              <w:top w:val="nil"/>
              <w:left w:val="nil"/>
              <w:bottom w:val="single" w:color="auto" w:sz="4" w:space="0"/>
              <w:right w:val="single" w:color="auto" w:sz="8" w:space="0"/>
            </w:tcBorders>
            <w:vAlign w:val="center"/>
          </w:tcPr>
          <w:p>
            <w:pPr>
              <w:widowControl/>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82.39</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用事业基金弥补收支差额</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结余分配</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年初结转和结余</w:t>
            </w:r>
          </w:p>
        </w:tc>
        <w:tc>
          <w:tcPr>
            <w:tcW w:w="76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10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2693"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年末结转和结余</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1216" w:type="dxa"/>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39" w:hRule="atLeast"/>
        </w:trPr>
        <w:tc>
          <w:tcPr>
            <w:tcW w:w="2567" w:type="dxa"/>
            <w:tcBorders>
              <w:top w:val="nil"/>
              <w:left w:val="single" w:color="auto" w:sz="8" w:space="0"/>
              <w:bottom w:val="nil"/>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107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 w:val="22"/>
                <w:szCs w:val="22"/>
              </w:rPr>
            </w:pPr>
          </w:p>
        </w:tc>
        <w:tc>
          <w:tcPr>
            <w:tcW w:w="2693"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1216" w:type="dxa"/>
            <w:tcBorders>
              <w:top w:val="nil"/>
              <w:left w:val="nil"/>
              <w:bottom w:val="nil"/>
              <w:right w:val="single" w:color="auto" w:sz="8"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39" w:hRule="atLeast"/>
        </w:trPr>
        <w:tc>
          <w:tcPr>
            <w:tcW w:w="2567" w:type="dxa"/>
            <w:tcBorders>
              <w:top w:val="single" w:color="auto" w:sz="4" w:space="0"/>
              <w:left w:val="single" w:color="auto" w:sz="8" w:space="0"/>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1074"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hint="eastAsia" w:ascii="宋体" w:hAnsi="宋体" w:cs="宋体" w:eastAsiaTheme="minorEastAsia"/>
                <w:kern w:val="0"/>
                <w:sz w:val="22"/>
                <w:szCs w:val="22"/>
                <w:lang w:val="en-US" w:eastAsia="zh-CN"/>
              </w:rPr>
            </w:pPr>
            <w:r>
              <w:rPr>
                <w:rFonts w:hint="eastAsia" w:ascii="宋体" w:hAnsi="宋体" w:cs="宋体"/>
                <w:kern w:val="0"/>
                <w:sz w:val="22"/>
                <w:szCs w:val="22"/>
                <w:lang w:val="en-US" w:eastAsia="zh-CN"/>
              </w:rPr>
              <w:t>82.39</w:t>
            </w:r>
          </w:p>
        </w:tc>
        <w:tc>
          <w:tcPr>
            <w:tcW w:w="2693" w:type="dxa"/>
            <w:tcBorders>
              <w:top w:val="single" w:color="auto" w:sz="4" w:space="0"/>
              <w:left w:val="nil"/>
              <w:bottom w:val="single" w:color="auto" w:sz="8"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769"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1216" w:type="dxa"/>
            <w:tcBorders>
              <w:top w:val="single" w:color="auto" w:sz="4" w:space="0"/>
              <w:left w:val="nil"/>
              <w:bottom w:val="single" w:color="auto" w:sz="8" w:space="0"/>
              <w:right w:val="single" w:color="auto" w:sz="8" w:space="0"/>
            </w:tcBorders>
            <w:vAlign w:val="center"/>
          </w:tcPr>
          <w:p>
            <w:pPr>
              <w:widowControl/>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82.39</w:t>
            </w:r>
          </w:p>
        </w:tc>
      </w:tr>
    </w:tbl>
    <w:p>
      <w:pPr>
        <w:spacing w:line="288" w:lineRule="auto"/>
        <w:ind w:firstLine="560"/>
        <w:rPr>
          <w:rFonts w:ascii="仿宋_GB2312" w:eastAsia="仿宋_GB2312"/>
          <w:sz w:val="28"/>
          <w:szCs w:val="28"/>
        </w:rPr>
      </w:pPr>
      <w:r>
        <w:rPr>
          <w:rFonts w:hint="eastAsia" w:ascii="仿宋_GB2312" w:eastAsia="仿宋_GB2312"/>
          <w:sz w:val="28"/>
          <w:szCs w:val="28"/>
        </w:rPr>
        <w:t>注：本表反映部门本年度的总收支和年末结转情况。有关填表说明：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（1）本表中数据填列当年决算数，以“万元”为金额单位，保留两位小数。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本表支出项目填列到类级支出科目，没有发生数的类级支出科目不用填列。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（3）收入总计数应等于支出总计数。</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（4）此表没有发生数据的，在合计和总计栏填“0”，并在该表下方附简要说明。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（5）该表数据来源于部门决算报表中的《收入支出决算总表》(财决01表)。</w:t>
      </w:r>
    </w:p>
    <w:p>
      <w:pPr>
        <w:spacing w:line="288" w:lineRule="auto"/>
        <w:ind w:firstLine="560"/>
        <w:rPr>
          <w:rFonts w:ascii="仿宋_GB2312" w:eastAsia="仿宋_GB2312"/>
          <w:sz w:val="28"/>
          <w:szCs w:val="28"/>
        </w:rPr>
      </w:pPr>
    </w:p>
    <w:tbl>
      <w:tblPr>
        <w:tblStyle w:val="7"/>
        <w:tblW w:w="9210" w:type="dxa"/>
        <w:tblInd w:w="93" w:type="dxa"/>
        <w:tblLayout w:type="fixed"/>
        <w:tblCellMar>
          <w:top w:w="0" w:type="dxa"/>
          <w:left w:w="108" w:type="dxa"/>
          <w:bottom w:w="0" w:type="dxa"/>
          <w:right w:w="108" w:type="dxa"/>
        </w:tblCellMar>
      </w:tblPr>
      <w:tblGrid>
        <w:gridCol w:w="459"/>
        <w:gridCol w:w="597"/>
        <w:gridCol w:w="1511"/>
        <w:gridCol w:w="1040"/>
        <w:gridCol w:w="945"/>
        <w:gridCol w:w="939"/>
        <w:gridCol w:w="797"/>
        <w:gridCol w:w="796"/>
        <w:gridCol w:w="992"/>
        <w:gridCol w:w="1134"/>
      </w:tblGrid>
      <w:tr>
        <w:tblPrEx>
          <w:tblLayout w:type="fixed"/>
          <w:tblCellMar>
            <w:top w:w="0" w:type="dxa"/>
            <w:left w:w="108" w:type="dxa"/>
            <w:bottom w:w="0" w:type="dxa"/>
            <w:right w:w="108" w:type="dxa"/>
          </w:tblCellMar>
        </w:tblPrEx>
        <w:trPr>
          <w:trHeight w:val="435" w:hRule="atLeast"/>
        </w:trPr>
        <w:tc>
          <w:tcPr>
            <w:tcW w:w="9210" w:type="dxa"/>
            <w:gridSpan w:val="10"/>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收入决算表</w:t>
            </w:r>
          </w:p>
        </w:tc>
      </w:tr>
      <w:tr>
        <w:tblPrEx>
          <w:tblLayout w:type="fixed"/>
          <w:tblCellMar>
            <w:top w:w="0" w:type="dxa"/>
            <w:left w:w="108" w:type="dxa"/>
            <w:bottom w:w="0" w:type="dxa"/>
            <w:right w:w="108" w:type="dxa"/>
          </w:tblCellMar>
        </w:tblPrEx>
        <w:trPr>
          <w:trHeight w:val="285" w:hRule="atLeast"/>
        </w:trPr>
        <w:tc>
          <w:tcPr>
            <w:tcW w:w="45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5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511"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04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45"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公开02表</w:t>
            </w:r>
          </w:p>
        </w:tc>
      </w:tr>
      <w:tr>
        <w:tblPrEx>
          <w:tblLayout w:type="fixed"/>
          <w:tblCellMar>
            <w:top w:w="0" w:type="dxa"/>
            <w:left w:w="108" w:type="dxa"/>
            <w:bottom w:w="0" w:type="dxa"/>
            <w:right w:w="108" w:type="dxa"/>
          </w:tblCellMar>
        </w:tblPrEx>
        <w:trPr>
          <w:trHeight w:val="300"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511" w:type="dxa"/>
            <w:shd w:val="clear" w:color="auto" w:fill="FFFFFF"/>
            <w:vAlign w:val="center"/>
          </w:tcPr>
          <w:p>
            <w:pPr>
              <w:widowControl/>
              <w:jc w:val="right"/>
              <w:rPr>
                <w:rFonts w:ascii="宋体" w:hAnsi="宋体" w:cs="宋体"/>
                <w:kern w:val="0"/>
                <w:sz w:val="24"/>
              </w:rPr>
            </w:pPr>
            <w:r>
              <w:rPr>
                <w:rFonts w:hint="eastAsia" w:ascii="宋体" w:hAnsi="宋体" w:cs="宋体"/>
                <w:color w:val="000000"/>
                <w:kern w:val="0"/>
                <w:sz w:val="20"/>
                <w:szCs w:val="20"/>
                <w:lang w:eastAsia="zh-CN"/>
              </w:rPr>
              <w:t>广州海珠（大埔）产业转移工业园管委会</w:t>
            </w:r>
            <w:r>
              <w:rPr>
                <w:rFonts w:hint="eastAsia" w:ascii="宋体" w:hAnsi="宋体" w:cs="宋体"/>
                <w:kern w:val="0"/>
                <w:sz w:val="24"/>
              </w:rPr>
              <w:t>　</w:t>
            </w:r>
          </w:p>
        </w:tc>
        <w:tc>
          <w:tcPr>
            <w:tcW w:w="1040"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45"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39" w:type="dxa"/>
            <w:shd w:val="clear" w:color="auto"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797"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796"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992" w:type="dxa"/>
            <w:shd w:val="clear" w:color="auto" w:fill="FFFFFF"/>
            <w:vAlign w:val="center"/>
          </w:tcPr>
          <w:p>
            <w:pPr>
              <w:widowControl/>
              <w:jc w:val="right"/>
              <w:rPr>
                <w:rFonts w:ascii="宋体" w:hAnsi="宋体" w:cs="宋体"/>
                <w:kern w:val="0"/>
                <w:sz w:val="24"/>
              </w:rPr>
            </w:pPr>
            <w:r>
              <w:rPr>
                <w:rFonts w:hint="eastAsia" w:ascii="宋体" w:hAnsi="宋体" w:cs="宋体"/>
                <w:kern w:val="0"/>
                <w:sz w:val="24"/>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1040"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本年收入合计</w:t>
            </w:r>
          </w:p>
        </w:tc>
        <w:tc>
          <w:tcPr>
            <w:tcW w:w="94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财政拨款收入</w:t>
            </w:r>
          </w:p>
        </w:tc>
        <w:tc>
          <w:tcPr>
            <w:tcW w:w="939"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上级补助收入</w:t>
            </w:r>
          </w:p>
        </w:tc>
        <w:tc>
          <w:tcPr>
            <w:tcW w:w="797"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事业收入</w:t>
            </w:r>
          </w:p>
        </w:tc>
        <w:tc>
          <w:tcPr>
            <w:tcW w:w="79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经营收入</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附属单位上缴收入</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其他收入</w:t>
            </w:r>
          </w:p>
        </w:tc>
      </w:tr>
      <w:tr>
        <w:tblPrEx>
          <w:tblLayout w:type="fixed"/>
          <w:tblCellMar>
            <w:top w:w="0" w:type="dxa"/>
            <w:left w:w="108" w:type="dxa"/>
            <w:bottom w:w="0" w:type="dxa"/>
            <w:right w:w="108" w:type="dxa"/>
          </w:tblCellMar>
        </w:tblPrEx>
        <w:trPr>
          <w:trHeight w:val="450" w:hRule="atLeast"/>
        </w:trPr>
        <w:tc>
          <w:tcPr>
            <w:tcW w:w="1056" w:type="dxa"/>
            <w:gridSpan w:val="2"/>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511"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5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3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7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567" w:type="dxa"/>
            <w:gridSpan w:val="3"/>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1040"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4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939"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797"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79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7</w:t>
            </w:r>
          </w:p>
        </w:tc>
      </w:tr>
      <w:tr>
        <w:tblPrEx>
          <w:tblLayout w:type="fixed"/>
          <w:tblCellMar>
            <w:top w:w="0" w:type="dxa"/>
            <w:left w:w="108" w:type="dxa"/>
            <w:bottom w:w="0" w:type="dxa"/>
            <w:right w:w="108" w:type="dxa"/>
          </w:tblCellMar>
        </w:tblPrEx>
        <w:trPr>
          <w:trHeight w:val="450" w:hRule="atLeast"/>
        </w:trPr>
        <w:tc>
          <w:tcPr>
            <w:tcW w:w="2567" w:type="dxa"/>
            <w:gridSpan w:val="3"/>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82.39</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54.89</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27.5</w:t>
            </w:r>
          </w:p>
        </w:tc>
      </w:tr>
      <w:tr>
        <w:tblPrEx>
          <w:tblLayout w:type="fixed"/>
          <w:tblCellMar>
            <w:top w:w="0" w:type="dxa"/>
            <w:left w:w="108" w:type="dxa"/>
            <w:bottom w:w="0" w:type="dxa"/>
            <w:right w:w="108" w:type="dxa"/>
          </w:tblCellMar>
        </w:tblPrEx>
        <w:trPr>
          <w:trHeight w:val="9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一般公共服务支出</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80.91</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27.5</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20101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人大事务</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2010101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行政运行</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80.91</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27.5</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2010102</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一般行政管理事务</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2010199</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其他人大事务支出</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20103</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政府办公厅（室）及相关机构事务</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80.91</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27.5</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208</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社会保障和就业支出</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20805</w:t>
            </w:r>
          </w:p>
        </w:tc>
        <w:tc>
          <w:tcPr>
            <w:tcW w:w="1511" w:type="dxa"/>
            <w:tcBorders>
              <w:top w:val="nil"/>
              <w:left w:val="nil"/>
              <w:bottom w:val="single" w:color="auto" w:sz="8"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行政事业单位离退休</w:t>
            </w:r>
          </w:p>
        </w:tc>
        <w:tc>
          <w:tcPr>
            <w:tcW w:w="1040"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45"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39"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8"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2080501</w:t>
            </w:r>
          </w:p>
        </w:tc>
        <w:tc>
          <w:tcPr>
            <w:tcW w:w="1511"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归口管理的行政单位离退休</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4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39"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2080599</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其他行政事业单位离退休</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1"/>
                <w:szCs w:val="21"/>
                <w:lang w:eastAsia="zh-CN"/>
              </w:rPr>
              <w:t>医疗卫生与计划生育支出</w:t>
            </w:r>
          </w:p>
        </w:tc>
        <w:tc>
          <w:tcPr>
            <w:tcW w:w="104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94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939"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w:t>
            </w:r>
          </w:p>
        </w:tc>
        <w:tc>
          <w:tcPr>
            <w:tcW w:w="151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医疗保障</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94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939"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single" w:color="auto" w:sz="4" w:space="0"/>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2100502</w:t>
            </w:r>
          </w:p>
        </w:tc>
        <w:tc>
          <w:tcPr>
            <w:tcW w:w="1511" w:type="dxa"/>
            <w:tcBorders>
              <w:top w:val="single" w:color="auto" w:sz="4" w:space="0"/>
              <w:left w:val="nil"/>
              <w:bottom w:val="single" w:color="auto" w:sz="8" w:space="0"/>
              <w:right w:val="single" w:color="auto" w:sz="4" w:space="0"/>
            </w:tcBorders>
            <w:shd w:val="clear" w:color="auto" w:fill="FFFFFF"/>
            <w:vAlign w:val="center"/>
          </w:tcPr>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事业单位医疗</w:t>
            </w:r>
          </w:p>
        </w:tc>
        <w:tc>
          <w:tcPr>
            <w:tcW w:w="1040"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945"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939"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7"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796"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single" w:color="auto" w:sz="4" w:space="0"/>
              <w:left w:val="nil"/>
              <w:bottom w:val="single" w:color="auto" w:sz="8"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single" w:color="auto" w:sz="4" w:space="0"/>
              <w:left w:val="nil"/>
              <w:bottom w:val="single" w:color="auto" w:sz="8"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注：本表反映部门本年度取得的各项收入情况。有关填表说明：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（3）1栏=（2+3+4+5+6+7）栏。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（5）该表数据来源于部门决算报表中的《收入决算表》（财决03表）。</w:t>
      </w:r>
    </w:p>
    <w:p>
      <w:pPr>
        <w:spacing w:line="360" w:lineRule="auto"/>
        <w:ind w:firstLine="523" w:firstLineChars="187"/>
        <w:rPr>
          <w:rFonts w:ascii="仿宋_GB2312" w:eastAsia="仿宋_GB2312"/>
          <w:sz w:val="28"/>
          <w:szCs w:val="28"/>
        </w:rPr>
      </w:pPr>
    </w:p>
    <w:p>
      <w:pPr>
        <w:spacing w:line="360" w:lineRule="auto"/>
        <w:ind w:firstLine="598" w:firstLineChars="187"/>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p>
      <w:pPr>
        <w:spacing w:line="360" w:lineRule="auto"/>
        <w:ind w:firstLine="374" w:firstLineChars="187"/>
        <w:jc w:val="left"/>
        <w:rPr>
          <w:rFonts w:ascii="宋体" w:hAnsi="宋体" w:cs="宋体"/>
          <w:color w:val="000000"/>
          <w:kern w:val="0"/>
          <w:sz w:val="20"/>
          <w:szCs w:val="20"/>
        </w:rPr>
      </w:pPr>
      <w:r>
        <w:rPr>
          <w:rFonts w:hint="eastAsia" w:ascii="宋体" w:hAnsi="宋体" w:cs="宋体"/>
          <w:color w:val="000000"/>
          <w:kern w:val="0"/>
          <w:sz w:val="20"/>
          <w:szCs w:val="20"/>
        </w:rPr>
        <w:t xml:space="preserve">                                                                      公开03表</w:t>
      </w:r>
    </w:p>
    <w:p>
      <w:pPr>
        <w:spacing w:line="360" w:lineRule="auto"/>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广州海珠（大埔）产业转移工业园管委会</w:t>
      </w:r>
      <w:r>
        <w:rPr>
          <w:rFonts w:hint="eastAsia" w:ascii="宋体" w:hAnsi="宋体" w:cs="宋体"/>
          <w:color w:val="000000"/>
          <w:kern w:val="0"/>
          <w:sz w:val="20"/>
          <w:szCs w:val="20"/>
        </w:rPr>
        <w:t xml:space="preserve">                                                                     单位：万元</w:t>
      </w:r>
    </w:p>
    <w:tbl>
      <w:tblPr>
        <w:tblStyle w:val="7"/>
        <w:tblW w:w="9176" w:type="dxa"/>
        <w:tblInd w:w="91" w:type="dxa"/>
        <w:tblLayout w:type="fixed"/>
        <w:tblCellMar>
          <w:top w:w="0" w:type="dxa"/>
          <w:left w:w="108" w:type="dxa"/>
          <w:bottom w:w="0" w:type="dxa"/>
          <w:right w:w="108" w:type="dxa"/>
        </w:tblCellMar>
      </w:tblPr>
      <w:tblGrid>
        <w:gridCol w:w="1225"/>
        <w:gridCol w:w="1909"/>
        <w:gridCol w:w="992"/>
        <w:gridCol w:w="956"/>
        <w:gridCol w:w="1055"/>
        <w:gridCol w:w="992"/>
        <w:gridCol w:w="913"/>
        <w:gridCol w:w="1134"/>
      </w:tblGrid>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8" w:space="0"/>
              <w:left w:val="single" w:color="auto" w:sz="8" w:space="0"/>
              <w:bottom w:val="single" w:color="auto"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956"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基本支出</w:t>
            </w:r>
          </w:p>
        </w:tc>
        <w:tc>
          <w:tcPr>
            <w:tcW w:w="1055"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992"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上缴上级支出</w:t>
            </w:r>
          </w:p>
        </w:tc>
        <w:tc>
          <w:tcPr>
            <w:tcW w:w="913" w:type="dxa"/>
            <w:vMerge w:val="restart"/>
            <w:tcBorders>
              <w:top w:val="single" w:color="auto" w:sz="8" w:space="0"/>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经营支出</w:t>
            </w:r>
          </w:p>
        </w:tc>
        <w:tc>
          <w:tcPr>
            <w:tcW w:w="1134" w:type="dxa"/>
            <w:vMerge w:val="restart"/>
            <w:tcBorders>
              <w:top w:val="single" w:color="auto" w:sz="8" w:space="0"/>
              <w:left w:val="single" w:color="auto" w:sz="4" w:space="0"/>
              <w:bottom w:val="single" w:color="000000"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对附属单位补助支出</w:t>
            </w:r>
          </w:p>
        </w:tc>
      </w:tr>
      <w:tr>
        <w:tblPrEx>
          <w:tblLayout w:type="fixed"/>
          <w:tblCellMar>
            <w:top w:w="0" w:type="dxa"/>
            <w:left w:w="108" w:type="dxa"/>
            <w:bottom w:w="0" w:type="dxa"/>
            <w:right w:w="108" w:type="dxa"/>
          </w:tblCellMar>
        </w:tblPrEx>
        <w:trPr>
          <w:trHeight w:val="448" w:hRule="atLeast"/>
          <w:tblHeader/>
        </w:trPr>
        <w:tc>
          <w:tcPr>
            <w:tcW w:w="1225" w:type="dxa"/>
            <w:vMerge w:val="restart"/>
            <w:tcBorders>
              <w:top w:val="single" w:color="auto" w:sz="4" w:space="0"/>
              <w:left w:val="single" w:color="auto" w:sz="8" w:space="0"/>
              <w:bottom w:val="single" w:color="000000" w:sz="4" w:space="0"/>
              <w:right w:val="nil"/>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909" w:type="dxa"/>
            <w:vMerge w:val="restart"/>
            <w:tcBorders>
              <w:top w:val="nil"/>
              <w:left w:val="single" w:color="auto" w:sz="4" w:space="0"/>
              <w:bottom w:val="single" w:color="000000"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1225" w:type="dxa"/>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kern w:val="0"/>
                <w:sz w:val="24"/>
              </w:rPr>
            </w:pPr>
          </w:p>
        </w:tc>
        <w:tc>
          <w:tcPr>
            <w:tcW w:w="19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5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05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9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1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48" w:hRule="atLeast"/>
          <w:tblHeader/>
        </w:trPr>
        <w:tc>
          <w:tcPr>
            <w:tcW w:w="3134" w:type="dxa"/>
            <w:gridSpan w:val="2"/>
            <w:tcBorders>
              <w:top w:val="single" w:color="auto" w:sz="4" w:space="0"/>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栏次</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956"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1055"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992"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c>
          <w:tcPr>
            <w:tcW w:w="913" w:type="dxa"/>
            <w:tcBorders>
              <w:top w:val="nil"/>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nil"/>
              <w:bottom w:val="single" w:color="auto" w:sz="4" w:space="0"/>
              <w:right w:val="single" w:color="auto" w:sz="8"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3134" w:type="dxa"/>
            <w:gridSpan w:val="2"/>
            <w:tcBorders>
              <w:top w:val="nil"/>
              <w:left w:val="single" w:color="auto" w:sz="8" w:space="0"/>
              <w:bottom w:val="single" w:color="auto" w:sz="4" w:space="0"/>
              <w:right w:val="single" w:color="000000"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82.39</w:t>
            </w:r>
            <w:r>
              <w:rPr>
                <w:rFonts w:hint="eastAsia" w:ascii="宋体" w:hAnsi="宋体" w:cs="宋体"/>
                <w:kern w:val="0"/>
                <w:sz w:val="24"/>
              </w:rPr>
              <w:t>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82.39</w:t>
            </w:r>
            <w:r>
              <w:rPr>
                <w:rFonts w:hint="eastAsia" w:ascii="宋体" w:hAnsi="宋体" w:cs="宋体"/>
                <w:kern w:val="0"/>
                <w:sz w:val="24"/>
              </w:rPr>
              <w:t>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一般公共服务支出</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80.91</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80.91</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20101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人大事务</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2010101</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行政运行</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80.91</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80.91</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2010102</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一般行政管理事务</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2010199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其他人大事务支出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208</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社会保障和就业支出</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20805</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行政事业单位离退休</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2080501</w:t>
            </w:r>
          </w:p>
        </w:tc>
        <w:tc>
          <w:tcPr>
            <w:tcW w:w="1909" w:type="dxa"/>
            <w:tcBorders>
              <w:top w:val="nil"/>
              <w:left w:val="single" w:color="auto" w:sz="4" w:space="0"/>
              <w:bottom w:val="single" w:color="auto" w:sz="8"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归口管理的行政单位离退休</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56"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055"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nil"/>
              <w:left w:val="nil"/>
              <w:bottom w:val="single" w:color="auto" w:sz="8"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nil"/>
              <w:left w:val="nil"/>
              <w:bottom w:val="single" w:color="auto" w:sz="8"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2080599</w:t>
            </w:r>
          </w:p>
        </w:tc>
        <w:tc>
          <w:tcPr>
            <w:tcW w:w="1909"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4"/>
              </w:rPr>
            </w:pPr>
            <w:r>
              <w:rPr>
                <w:rFonts w:hint="eastAsia" w:ascii="仿宋_GB2312" w:hAnsi="宋体" w:eastAsia="仿宋_GB2312" w:cs="宋体"/>
                <w:kern w:val="0"/>
                <w:sz w:val="24"/>
              </w:rPr>
              <w:t>其他行政事业单位离退休</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56"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055"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nil"/>
              <w:left w:val="nil"/>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nil"/>
              <w:left w:val="nil"/>
              <w:bottom w:val="single" w:color="auto" w:sz="4" w:space="0"/>
              <w:right w:val="single" w:color="auto" w:sz="8"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医疗卫生与计划生育支出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1.48</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1.48</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4" w:space="0"/>
              <w:right w:val="nil"/>
            </w:tcBorders>
            <w:shd w:val="clear" w:color="auto" w:fill="FFFFFF"/>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医疗保障</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1.48</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1.48</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r>
        <w:tblPrEx>
          <w:tblLayout w:type="fixed"/>
          <w:tblCellMar>
            <w:top w:w="0" w:type="dxa"/>
            <w:left w:w="108" w:type="dxa"/>
            <w:bottom w:w="0" w:type="dxa"/>
            <w:right w:w="108" w:type="dxa"/>
          </w:tblCellMar>
        </w:tblPrEx>
        <w:trPr>
          <w:trHeight w:val="450" w:hRule="atLeast"/>
        </w:trPr>
        <w:tc>
          <w:tcPr>
            <w:tcW w:w="1225" w:type="dxa"/>
            <w:tcBorders>
              <w:top w:val="single" w:color="auto" w:sz="4" w:space="0"/>
              <w:left w:val="single" w:color="auto" w:sz="8" w:space="0"/>
              <w:bottom w:val="single" w:color="auto" w:sz="8" w:space="0"/>
              <w:right w:val="nil"/>
            </w:tcBorders>
            <w:shd w:val="clear" w:color="auto" w:fill="FFFFFF"/>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2100502</w:t>
            </w:r>
          </w:p>
        </w:tc>
        <w:tc>
          <w:tcPr>
            <w:tcW w:w="190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事业单位医疗</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1.48</w:t>
            </w:r>
          </w:p>
        </w:tc>
        <w:tc>
          <w:tcPr>
            <w:tcW w:w="956"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1.48</w:t>
            </w:r>
          </w:p>
        </w:tc>
        <w:tc>
          <w:tcPr>
            <w:tcW w:w="1055"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9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宋体"/>
                <w:kern w:val="0"/>
                <w:sz w:val="24"/>
              </w:rPr>
            </w:pPr>
            <w:r>
              <w:rPr>
                <w:rFonts w:hint="eastAsia" w:ascii="宋体" w:hAnsi="宋体" w:cs="宋体"/>
                <w:kern w:val="0"/>
                <w:sz w:val="24"/>
                <w:lang w:val="en-US" w:eastAsia="zh-CN"/>
              </w:rPr>
              <w:t xml:space="preserve">0.00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注：本表反映部门本年度各项支出情况。有关填表说明：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（3）1栏=（2+3+4+5+6）栏。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（5）该表数据来源于部门决算报表中的《支出决算表》（财决04表）。</w:t>
      </w:r>
    </w:p>
    <w:p>
      <w:pPr>
        <w:spacing w:line="288" w:lineRule="auto"/>
        <w:ind w:firstLine="643" w:firstLineChars="200"/>
        <w:rPr>
          <w:rFonts w:ascii="仿宋_GB2312" w:eastAsia="仿宋_GB2312"/>
          <w:b/>
          <w:sz w:val="32"/>
          <w:szCs w:val="32"/>
        </w:rPr>
      </w:pPr>
    </w:p>
    <w:p>
      <w:pPr>
        <w:spacing w:line="288" w:lineRule="auto"/>
        <w:ind w:firstLine="640" w:firstLineChars="20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p>
      <w:pPr>
        <w:spacing w:line="288" w:lineRule="auto"/>
        <w:ind w:firstLine="400" w:firstLineChars="200"/>
        <w:jc w:val="right"/>
        <w:rPr>
          <w:rFonts w:ascii="宋体" w:hAnsi="宋体" w:cs="宋体"/>
          <w:color w:val="000000"/>
          <w:kern w:val="0"/>
          <w:sz w:val="20"/>
          <w:szCs w:val="20"/>
        </w:rPr>
      </w:pPr>
      <w:r>
        <w:rPr>
          <w:rFonts w:hint="eastAsia" w:ascii="宋体" w:hAnsi="宋体" w:cs="宋体"/>
          <w:color w:val="000000"/>
          <w:kern w:val="0"/>
          <w:sz w:val="20"/>
          <w:szCs w:val="20"/>
        </w:rPr>
        <w:t>公开04表</w:t>
      </w:r>
    </w:p>
    <w:p>
      <w:pPr>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广州海珠（大埔）产业转移工业园管委会</w:t>
      </w:r>
      <w:r>
        <w:rPr>
          <w:rFonts w:hint="eastAsia" w:ascii="宋体" w:hAnsi="宋体" w:cs="宋体"/>
          <w:color w:val="000000"/>
          <w:kern w:val="0"/>
          <w:sz w:val="20"/>
          <w:szCs w:val="20"/>
        </w:rPr>
        <w:t xml:space="preserve">                                                                   单位：万元  </w:t>
      </w:r>
    </w:p>
    <w:tbl>
      <w:tblPr>
        <w:tblStyle w:val="7"/>
        <w:tblW w:w="9195" w:type="dxa"/>
        <w:tblInd w:w="91" w:type="dxa"/>
        <w:tblLayout w:type="fixed"/>
        <w:tblCellMar>
          <w:top w:w="0" w:type="dxa"/>
          <w:left w:w="108" w:type="dxa"/>
          <w:bottom w:w="0" w:type="dxa"/>
          <w:right w:w="108" w:type="dxa"/>
        </w:tblCellMar>
      </w:tblPr>
      <w:tblGrid>
        <w:gridCol w:w="1858"/>
        <w:gridCol w:w="556"/>
        <w:gridCol w:w="841"/>
        <w:gridCol w:w="2005"/>
        <w:gridCol w:w="556"/>
        <w:gridCol w:w="829"/>
        <w:gridCol w:w="946"/>
        <w:gridCol w:w="1604"/>
      </w:tblGrid>
      <w:tr>
        <w:tblPrEx>
          <w:tblLayout w:type="fixed"/>
          <w:tblCellMar>
            <w:top w:w="0" w:type="dxa"/>
            <w:left w:w="108" w:type="dxa"/>
            <w:bottom w:w="0" w:type="dxa"/>
            <w:right w:w="108" w:type="dxa"/>
          </w:tblCellMar>
        </w:tblPrEx>
        <w:trPr>
          <w:trHeight w:val="402" w:hRule="atLeast"/>
          <w:tblHeader/>
        </w:trPr>
        <w:tc>
          <w:tcPr>
            <w:tcW w:w="325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收入</w:t>
            </w:r>
          </w:p>
        </w:tc>
        <w:tc>
          <w:tcPr>
            <w:tcW w:w="594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支出</w:t>
            </w:r>
          </w:p>
        </w:tc>
      </w:tr>
      <w:tr>
        <w:tblPrEx>
          <w:tblLayout w:type="fixed"/>
          <w:tblCellMar>
            <w:top w:w="0" w:type="dxa"/>
            <w:left w:w="108" w:type="dxa"/>
            <w:bottom w:w="0" w:type="dxa"/>
            <w:right w:w="108" w:type="dxa"/>
          </w:tblCellMar>
        </w:tblPrEx>
        <w:trPr>
          <w:trHeight w:val="63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4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金额</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项    目</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行次</w:t>
            </w:r>
          </w:p>
        </w:tc>
        <w:tc>
          <w:tcPr>
            <w:tcW w:w="82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合计</w:t>
            </w:r>
          </w:p>
        </w:tc>
        <w:tc>
          <w:tcPr>
            <w:tcW w:w="9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一般公共预算财政拨款</w:t>
            </w:r>
          </w:p>
        </w:tc>
        <w:tc>
          <w:tcPr>
            <w:tcW w:w="160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政府性基金预算财政拨款</w:t>
            </w:r>
          </w:p>
        </w:tc>
      </w:tr>
      <w:tr>
        <w:tblPrEx>
          <w:tblLayout w:type="fixed"/>
          <w:tblCellMar>
            <w:top w:w="0" w:type="dxa"/>
            <w:left w:w="108" w:type="dxa"/>
            <w:bottom w:w="0" w:type="dxa"/>
            <w:right w:w="108" w:type="dxa"/>
          </w:tblCellMar>
        </w:tblPrEx>
        <w:trPr>
          <w:trHeight w:val="90" w:hRule="atLeast"/>
          <w:tblHeader/>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841"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1</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栏    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　</w:t>
            </w:r>
          </w:p>
        </w:tc>
        <w:tc>
          <w:tcPr>
            <w:tcW w:w="82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2</w:t>
            </w:r>
          </w:p>
        </w:tc>
        <w:tc>
          <w:tcPr>
            <w:tcW w:w="94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3</w:t>
            </w:r>
          </w:p>
        </w:tc>
        <w:tc>
          <w:tcPr>
            <w:tcW w:w="1604"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4"/>
              </w:rPr>
            </w:pPr>
            <w:r>
              <w:rPr>
                <w:rFonts w:hint="eastAsia" w:ascii="宋体" w:hAnsi="宋体" w:cs="宋体"/>
                <w:kern w:val="0"/>
                <w:sz w:val="24"/>
              </w:rPr>
              <w:t>4</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1</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2"/>
                <w:szCs w:val="22"/>
                <w:lang w:val="en-US" w:eastAsia="zh-CN"/>
              </w:rPr>
              <w:t>54.89</w:t>
            </w:r>
            <w:r>
              <w:rPr>
                <w:rFonts w:hint="eastAsia" w:ascii="宋体" w:hAnsi="宋体" w:cs="宋体"/>
                <w:kern w:val="0"/>
                <w:sz w:val="20"/>
                <w:szCs w:val="20"/>
              </w:rPr>
              <w:t>　</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15</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53.41</w:t>
            </w:r>
            <w:r>
              <w:rPr>
                <w:rFonts w:hint="eastAsia" w:ascii="宋体" w:hAnsi="宋体" w:cs="宋体"/>
                <w:kern w:val="0"/>
                <w:sz w:val="22"/>
                <w:szCs w:val="22"/>
              </w:rPr>
              <w:t>　</w:t>
            </w:r>
          </w:p>
        </w:tc>
        <w:tc>
          <w:tcPr>
            <w:tcW w:w="94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53.41</w:t>
            </w:r>
            <w:r>
              <w:rPr>
                <w:rFonts w:hint="eastAsia" w:ascii="宋体" w:hAnsi="宋体" w:cs="宋体"/>
                <w:kern w:val="0"/>
                <w:sz w:val="22"/>
                <w:szCs w:val="22"/>
              </w:rPr>
              <w:t>　</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r>
              <w:rPr>
                <w:rFonts w:hint="eastAsia" w:ascii="宋体" w:hAnsi="宋体" w:cs="宋体"/>
                <w:kern w:val="0"/>
                <w:sz w:val="22"/>
                <w:szCs w:val="22"/>
              </w:rPr>
              <w:t>　</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16</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94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17</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94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18</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94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19</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94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005"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20</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94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00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eastAsiaTheme="minorEastAsia"/>
                <w:kern w:val="0"/>
                <w:sz w:val="24"/>
                <w:lang w:eastAsia="zh-CN"/>
              </w:rPr>
            </w:pPr>
            <w:r>
              <w:rPr>
                <w:rFonts w:hint="eastAsia" w:ascii="宋体" w:hAnsi="宋体" w:cs="宋体"/>
                <w:kern w:val="0"/>
                <w:sz w:val="24"/>
                <w:lang w:eastAsia="zh-CN"/>
              </w:rPr>
              <w:t>七、医疗卫生与计划生育支出</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21</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1.48</w:t>
            </w:r>
            <w:r>
              <w:rPr>
                <w:rFonts w:hint="eastAsia" w:ascii="宋体" w:hAnsi="宋体" w:cs="宋体"/>
                <w:kern w:val="0"/>
                <w:sz w:val="22"/>
                <w:szCs w:val="22"/>
              </w:rPr>
              <w:t>　</w:t>
            </w:r>
          </w:p>
        </w:tc>
        <w:tc>
          <w:tcPr>
            <w:tcW w:w="946"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r>
              <w:rPr>
                <w:rFonts w:hint="eastAsia" w:ascii="宋体" w:hAnsi="宋体" w:cs="宋体"/>
                <w:kern w:val="0"/>
                <w:sz w:val="22"/>
                <w:szCs w:val="22"/>
                <w:lang w:val="en-US" w:eastAsia="zh-CN"/>
              </w:rPr>
              <w:t>1.48</w:t>
            </w:r>
          </w:p>
        </w:tc>
        <w:tc>
          <w:tcPr>
            <w:tcW w:w="16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005"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22</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54.89</w:t>
            </w:r>
            <w:r>
              <w:rPr>
                <w:rFonts w:hint="eastAsia" w:ascii="宋体" w:hAnsi="宋体" w:cs="宋体"/>
                <w:kern w:val="0"/>
                <w:sz w:val="22"/>
                <w:szCs w:val="22"/>
              </w:rPr>
              <w:t>　</w:t>
            </w:r>
          </w:p>
        </w:tc>
        <w:tc>
          <w:tcPr>
            <w:tcW w:w="2005"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23</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54.89　</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54.89</w:t>
            </w:r>
          </w:p>
        </w:tc>
        <w:tc>
          <w:tcPr>
            <w:tcW w:w="160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0.00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年初财政拨款结转和结余</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2005"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年末结转和结余</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24</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c>
          <w:tcPr>
            <w:tcW w:w="16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一般公共预算财政拨款</w:t>
            </w:r>
          </w:p>
        </w:tc>
        <w:tc>
          <w:tcPr>
            <w:tcW w:w="556"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2005"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25</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0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both"/>
              <w:rPr>
                <w:rFonts w:ascii="宋体" w:hAnsi="宋体" w:cs="宋体"/>
                <w:kern w:val="0"/>
                <w:sz w:val="22"/>
                <w:szCs w:val="22"/>
              </w:rPr>
            </w:pPr>
            <w:r>
              <w:rPr>
                <w:rFonts w:hint="eastAsia" w:ascii="宋体" w:hAnsi="宋体" w:cs="宋体"/>
                <w:kern w:val="0"/>
                <w:sz w:val="22"/>
                <w:szCs w:val="22"/>
              </w:rPr>
              <w:t>政府性基金预算财政拨款</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lang w:val="en-US" w:eastAsia="zh-CN"/>
              </w:rPr>
              <w:t>0.00</w:t>
            </w:r>
          </w:p>
        </w:tc>
        <w:tc>
          <w:tcPr>
            <w:tcW w:w="2005"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26</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0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1858"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2005" w:type="dxa"/>
            <w:tcBorders>
              <w:top w:val="single" w:color="auto" w:sz="4" w:space="0"/>
              <w:left w:val="nil"/>
              <w:bottom w:val="single" w:color="auto" w:sz="4" w:space="0"/>
              <w:right w:val="nil"/>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27</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0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564" w:hRule="atLeast"/>
        </w:trPr>
        <w:tc>
          <w:tcPr>
            <w:tcW w:w="1858" w:type="dxa"/>
            <w:tcBorders>
              <w:top w:val="single" w:color="auto" w:sz="4" w:space="0"/>
              <w:left w:val="single" w:color="auto" w:sz="4" w:space="0"/>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c>
          <w:tcPr>
            <w:tcW w:w="84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54.89</w:t>
            </w:r>
            <w:r>
              <w:rPr>
                <w:rFonts w:hint="eastAsia" w:ascii="宋体" w:hAnsi="宋体" w:cs="宋体"/>
                <w:kern w:val="0"/>
                <w:sz w:val="22"/>
                <w:szCs w:val="22"/>
              </w:rPr>
              <w:t>　</w:t>
            </w:r>
          </w:p>
        </w:tc>
        <w:tc>
          <w:tcPr>
            <w:tcW w:w="2005"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5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28</w:t>
            </w:r>
          </w:p>
        </w:tc>
        <w:tc>
          <w:tcPr>
            <w:tcW w:w="829" w:type="dxa"/>
            <w:tcBorders>
              <w:top w:val="single" w:color="auto" w:sz="4" w:space="0"/>
              <w:left w:val="nil"/>
              <w:bottom w:val="single" w:color="auto" w:sz="4" w:space="0"/>
              <w:right w:val="nil"/>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54.89</w:t>
            </w:r>
            <w:r>
              <w:rPr>
                <w:rFonts w:hint="eastAsia" w:ascii="宋体" w:hAnsi="宋体" w:cs="宋体"/>
                <w:kern w:val="0"/>
                <w:sz w:val="22"/>
                <w:szCs w:val="22"/>
              </w:rPr>
              <w:t>　</w:t>
            </w:r>
          </w:p>
        </w:tc>
        <w:tc>
          <w:tcPr>
            <w:tcW w:w="94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54.89</w:t>
            </w:r>
          </w:p>
        </w:tc>
        <w:tc>
          <w:tcPr>
            <w:tcW w:w="160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　</w:t>
            </w:r>
            <w:r>
              <w:rPr>
                <w:rFonts w:hint="eastAsia" w:ascii="宋体" w:hAnsi="宋体" w:cs="宋体"/>
                <w:kern w:val="0"/>
                <w:sz w:val="22"/>
                <w:szCs w:val="22"/>
                <w:lang w:val="en-US" w:eastAsia="zh-CN"/>
              </w:rPr>
              <w:t>0.00</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注：本表反映部门本年度财政拨款的总收支和年末结转结余情况。有关填表说明：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本表支出项目填列到类级支出科目，没有发生数的类级支出科目不用填列。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（3）收入总计数应等于支出总计数。</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（4）此表没有发生数据的，在合计栏填“0”，并在该表下方附简要说明。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（5）该表数据来源于部门决算报表中的《财政拨款收入支出决算总表》（财决01-1表）。</w:t>
      </w:r>
    </w:p>
    <w:p>
      <w:pPr>
        <w:spacing w:line="288" w:lineRule="auto"/>
        <w:rPr>
          <w:rFonts w:ascii="仿宋_GB2312" w:eastAsia="仿宋_GB2312"/>
          <w:b/>
          <w:sz w:val="32"/>
          <w:szCs w:val="32"/>
        </w:rPr>
      </w:pPr>
    </w:p>
    <w:tbl>
      <w:tblPr>
        <w:tblStyle w:val="7"/>
        <w:tblW w:w="8946" w:type="dxa"/>
        <w:tblInd w:w="93" w:type="dxa"/>
        <w:tblLayout w:type="fixed"/>
        <w:tblCellMar>
          <w:top w:w="0" w:type="dxa"/>
          <w:left w:w="108" w:type="dxa"/>
          <w:bottom w:w="0" w:type="dxa"/>
          <w:right w:w="108" w:type="dxa"/>
        </w:tblCellMar>
      </w:tblPr>
      <w:tblGrid>
        <w:gridCol w:w="560"/>
        <w:gridCol w:w="560"/>
        <w:gridCol w:w="1872"/>
        <w:gridCol w:w="1985"/>
        <w:gridCol w:w="1984"/>
        <w:gridCol w:w="1985"/>
      </w:tblGrid>
      <w:tr>
        <w:tblPrEx>
          <w:tblLayout w:type="fixed"/>
          <w:tblCellMar>
            <w:top w:w="0" w:type="dxa"/>
            <w:left w:w="108" w:type="dxa"/>
            <w:bottom w:w="0" w:type="dxa"/>
            <w:right w:w="108" w:type="dxa"/>
          </w:tblCellMar>
        </w:tblPrEx>
        <w:trPr>
          <w:trHeight w:val="600" w:hRule="atLeast"/>
        </w:trPr>
        <w:tc>
          <w:tcPr>
            <w:tcW w:w="8946" w:type="dxa"/>
            <w:gridSpan w:val="6"/>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一般公共预算财政拨款支出决算表</w:t>
            </w:r>
          </w:p>
        </w:tc>
      </w:tr>
      <w:tr>
        <w:tblPrEx>
          <w:tblLayout w:type="fixed"/>
          <w:tblCellMar>
            <w:top w:w="0" w:type="dxa"/>
            <w:left w:w="108" w:type="dxa"/>
            <w:bottom w:w="0" w:type="dxa"/>
            <w:right w:w="108" w:type="dxa"/>
          </w:tblCellMar>
        </w:tblPrEx>
        <w:trPr>
          <w:trHeight w:val="222" w:hRule="atLeast"/>
        </w:trPr>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560"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公开05表</w:t>
            </w:r>
          </w:p>
        </w:tc>
      </w:tr>
      <w:tr>
        <w:tblPrEx>
          <w:tblLayout w:type="fixed"/>
          <w:tblCellMar>
            <w:top w:w="0" w:type="dxa"/>
            <w:left w:w="108" w:type="dxa"/>
            <w:bottom w:w="0" w:type="dxa"/>
            <w:right w:w="108" w:type="dxa"/>
          </w:tblCellMar>
        </w:tblPrEx>
        <w:trPr>
          <w:trHeight w:val="300" w:hRule="atLeast"/>
        </w:trPr>
        <w:tc>
          <w:tcPr>
            <w:tcW w:w="1120"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872" w:type="dxa"/>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广州海珠（大埔）产业转移工业园管委会</w:t>
            </w:r>
            <w:r>
              <w:rPr>
                <w:rFonts w:hint="eastAsia" w:ascii="宋体" w:hAnsi="宋体" w:cs="宋体"/>
                <w:kern w:val="0"/>
                <w:sz w:val="20"/>
                <w:szCs w:val="20"/>
              </w:rPr>
              <w:t>　</w:t>
            </w:r>
          </w:p>
        </w:tc>
        <w:tc>
          <w:tcPr>
            <w:tcW w:w="1985"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5"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992"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85"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本年支出合计</w:t>
            </w:r>
          </w:p>
        </w:tc>
        <w:tc>
          <w:tcPr>
            <w:tcW w:w="198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85"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项目支出</w:t>
            </w:r>
          </w:p>
        </w:tc>
      </w:tr>
      <w:tr>
        <w:tblPrEx>
          <w:tblLayout w:type="fixed"/>
          <w:tblCellMar>
            <w:top w:w="0" w:type="dxa"/>
            <w:left w:w="108" w:type="dxa"/>
            <w:bottom w:w="0" w:type="dxa"/>
            <w:right w:w="108" w:type="dxa"/>
          </w:tblCellMar>
        </w:tblPrEx>
        <w:trPr>
          <w:trHeight w:val="495" w:hRule="atLeast"/>
        </w:trPr>
        <w:tc>
          <w:tcPr>
            <w:tcW w:w="1120"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120"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8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85"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85" w:type="dxa"/>
            <w:tcBorders>
              <w:top w:val="nil"/>
              <w:left w:val="nil"/>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3</w:t>
            </w:r>
          </w:p>
        </w:tc>
      </w:tr>
      <w:tr>
        <w:tblPrEx>
          <w:tblLayout w:type="fixed"/>
          <w:tblCellMar>
            <w:top w:w="0" w:type="dxa"/>
            <w:left w:w="108" w:type="dxa"/>
            <w:bottom w:w="0" w:type="dxa"/>
            <w:right w:w="108" w:type="dxa"/>
          </w:tblCellMar>
        </w:tblPrEx>
        <w:trPr>
          <w:trHeight w:val="450" w:hRule="atLeast"/>
        </w:trPr>
        <w:tc>
          <w:tcPr>
            <w:tcW w:w="2992" w:type="dxa"/>
            <w:gridSpan w:val="3"/>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54.89</w:t>
            </w:r>
            <w:r>
              <w:rPr>
                <w:rFonts w:hint="eastAsia" w:ascii="宋体" w:hAnsi="宋体" w:cs="宋体"/>
                <w:kern w:val="0"/>
                <w:sz w:val="24"/>
              </w:rPr>
              <w:t>　</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54.89</w:t>
            </w:r>
            <w:r>
              <w:rPr>
                <w:rFonts w:hint="eastAsia" w:ascii="宋体" w:hAnsi="宋体" w:cs="宋体"/>
                <w:kern w:val="0"/>
                <w:sz w:val="24"/>
              </w:rPr>
              <w:t>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一般公共服务支出</w:t>
            </w:r>
          </w:p>
        </w:tc>
        <w:tc>
          <w:tcPr>
            <w:tcW w:w="198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1985" w:type="dxa"/>
            <w:tcBorders>
              <w:top w:val="single" w:color="auto" w:sz="4" w:space="0"/>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20101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人大事务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2010101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行政运行</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2010102</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一般行政管理事务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2010199</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其他人大事务支出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cs="宋体" w:eastAsiaTheme="minorEastAsia"/>
                <w:kern w:val="0"/>
                <w:sz w:val="24"/>
                <w:lang w:eastAsia="zh-CN"/>
              </w:rPr>
            </w:pPr>
            <w:r>
              <w:rPr>
                <w:rFonts w:hint="eastAsia" w:ascii="仿宋_GB2312" w:hAnsi="宋体" w:eastAsia="仿宋_GB2312" w:cs="宋体"/>
                <w:kern w:val="0"/>
                <w:sz w:val="24"/>
                <w:lang w:val="en-US" w:eastAsia="zh-CN"/>
              </w:rPr>
              <w:t>20103</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cs="宋体" w:eastAsiaTheme="minorEastAsia"/>
                <w:kern w:val="0"/>
                <w:sz w:val="24"/>
                <w:lang w:eastAsia="zh-CN"/>
              </w:rPr>
            </w:pPr>
            <w:r>
              <w:rPr>
                <w:rFonts w:hint="eastAsia" w:ascii="仿宋_GB2312" w:hAnsi="宋体" w:eastAsia="仿宋_GB2312" w:cs="宋体"/>
                <w:kern w:val="0"/>
                <w:sz w:val="24"/>
                <w:lang w:eastAsia="zh-CN"/>
              </w:rPr>
              <w:t>政府办公厅（室）及相关机构事务</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53.41</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208</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社会保障和就业支出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20805</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行政事业单位离退休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2080501</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归口管理的行政单位离退休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2080599</w:t>
            </w:r>
          </w:p>
        </w:tc>
        <w:tc>
          <w:tcPr>
            <w:tcW w:w="187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仿宋_GB2312" w:hAnsi="宋体" w:eastAsia="仿宋_GB2312" w:cs="宋体"/>
                <w:kern w:val="0"/>
                <w:sz w:val="24"/>
              </w:rPr>
              <w:t>其他行政事业单位离退休</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cs="宋体" w:eastAsiaTheme="minorEastAsia"/>
                <w:kern w:val="0"/>
                <w:sz w:val="24"/>
                <w:lang w:eastAsia="zh-CN"/>
              </w:rPr>
            </w:pPr>
            <w:r>
              <w:rPr>
                <w:rFonts w:hint="eastAsia" w:ascii="仿宋_GB2312" w:hAnsi="宋体" w:eastAsia="仿宋_GB2312" w:cs="宋体"/>
                <w:kern w:val="0"/>
                <w:sz w:val="24"/>
                <w:lang w:val="en-US" w:eastAsia="zh-CN"/>
              </w:rPr>
              <w:t>210</w:t>
            </w:r>
          </w:p>
        </w:tc>
        <w:tc>
          <w:tcPr>
            <w:tcW w:w="1872" w:type="dxa"/>
            <w:tcBorders>
              <w:top w:val="nil"/>
              <w:left w:val="nil"/>
              <w:bottom w:val="single" w:color="auto" w:sz="4" w:space="0"/>
              <w:right w:val="single" w:color="auto" w:sz="4" w:space="0"/>
            </w:tcBorders>
            <w:vAlign w:val="center"/>
          </w:tcPr>
          <w:p>
            <w:pPr>
              <w:widowControl/>
              <w:jc w:val="left"/>
              <w:rPr>
                <w:rFonts w:hint="eastAsia" w:ascii="宋体" w:hAnsi="宋体" w:cs="宋体" w:eastAsiaTheme="minorEastAsia"/>
                <w:kern w:val="0"/>
                <w:sz w:val="20"/>
                <w:szCs w:val="20"/>
                <w:lang w:eastAsia="zh-CN"/>
              </w:rPr>
            </w:pPr>
            <w:r>
              <w:rPr>
                <w:rFonts w:hint="eastAsia" w:ascii="宋体" w:hAnsi="宋体" w:cs="宋体"/>
                <w:kern w:val="0"/>
                <w:sz w:val="20"/>
                <w:szCs w:val="20"/>
                <w:lang w:eastAsia="zh-CN"/>
              </w:rPr>
              <w:t>医疗卫生与计划生育支出</w:t>
            </w:r>
          </w:p>
        </w:tc>
        <w:tc>
          <w:tcPr>
            <w:tcW w:w="198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1.48　</w:t>
            </w:r>
          </w:p>
        </w:tc>
        <w:tc>
          <w:tcPr>
            <w:tcW w:w="1984"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1.48　</w:t>
            </w:r>
          </w:p>
        </w:tc>
        <w:tc>
          <w:tcPr>
            <w:tcW w:w="1985" w:type="dxa"/>
            <w:tcBorders>
              <w:top w:val="nil"/>
              <w:left w:val="nil"/>
              <w:bottom w:val="single" w:color="auto" w:sz="4" w:space="0"/>
              <w:right w:val="single" w:color="auto" w:sz="8"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　</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both"/>
              <w:rPr>
                <w:rFonts w:ascii="宋体" w:hAnsi="宋体" w:cs="宋体"/>
                <w:kern w:val="0"/>
                <w:sz w:val="24"/>
              </w:rPr>
            </w:pPr>
            <w:r>
              <w:rPr>
                <w:rFonts w:hint="eastAsia" w:ascii="宋体" w:hAnsi="宋体" w:cs="宋体"/>
                <w:kern w:val="0"/>
                <w:sz w:val="24"/>
              </w:rPr>
              <w:t>　</w:t>
            </w:r>
            <w:r>
              <w:rPr>
                <w:rFonts w:hint="eastAsia" w:ascii="宋体" w:hAnsi="宋体" w:cs="宋体"/>
                <w:kern w:val="0"/>
                <w:sz w:val="24"/>
                <w:lang w:eastAsia="zh-CN"/>
              </w:rPr>
              <w:t>医疗保障</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1.48　</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1.48　</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120" w:type="dxa"/>
            <w:gridSpan w:val="2"/>
            <w:tcBorders>
              <w:top w:val="single" w:color="auto" w:sz="4" w:space="0"/>
              <w:left w:val="single" w:color="auto" w:sz="8" w:space="0"/>
              <w:bottom w:val="single" w:color="auto" w:sz="8" w:space="0"/>
              <w:right w:val="single" w:color="auto" w:sz="4" w:space="0"/>
            </w:tcBorders>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2100502</w:t>
            </w:r>
          </w:p>
        </w:tc>
        <w:tc>
          <w:tcPr>
            <w:tcW w:w="187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eastAsiaTheme="minorEastAsia"/>
                <w:kern w:val="0"/>
                <w:sz w:val="24"/>
                <w:lang w:eastAsia="zh-CN"/>
              </w:rPr>
            </w:pPr>
            <w:r>
              <w:rPr>
                <w:rFonts w:hint="eastAsia" w:ascii="宋体" w:hAnsi="宋体" w:cs="宋体"/>
                <w:kern w:val="0"/>
                <w:sz w:val="24"/>
                <w:lang w:eastAsia="zh-CN"/>
              </w:rPr>
              <w:t>事业单位医疗</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1.48</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0.00</w:t>
            </w:r>
            <w:r>
              <w:rPr>
                <w:rFonts w:hint="eastAsia" w:ascii="宋体" w:hAnsi="宋体" w:cs="宋体"/>
                <w:kern w:val="0"/>
                <w:sz w:val="24"/>
              </w:rPr>
              <w:t>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注：本表反映部门本年度一般公共预算财政拨款实际支出情况。有关填表说明：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（5）该表数据来源于部门决算报表中的《一般公共预算财政拨款收入支出决算表》（财决07表）和《项目收入支出决算表》（财决06表）。</w:t>
      </w:r>
    </w:p>
    <w:p>
      <w:pPr>
        <w:spacing w:line="288" w:lineRule="auto"/>
        <w:ind w:firstLine="643" w:firstLineChars="200"/>
        <w:rPr>
          <w:rFonts w:ascii="仿宋_GB2312" w:eastAsia="仿宋_GB2312"/>
          <w:b/>
          <w:sz w:val="32"/>
          <w:szCs w:val="32"/>
        </w:rPr>
      </w:pPr>
    </w:p>
    <w:p>
      <w:pPr>
        <w:spacing w:line="288" w:lineRule="auto"/>
        <w:ind w:firstLine="640"/>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一般公共预算财政拨款基本支出决算表</w:t>
      </w:r>
    </w:p>
    <w:p>
      <w:pPr>
        <w:spacing w:line="288" w:lineRule="auto"/>
        <w:ind w:firstLine="400"/>
        <w:jc w:val="right"/>
        <w:rPr>
          <w:rFonts w:ascii="宋体" w:hAnsi="宋体" w:cs="宋体"/>
          <w:color w:val="000000"/>
          <w:kern w:val="0"/>
          <w:sz w:val="20"/>
          <w:szCs w:val="20"/>
        </w:rPr>
      </w:pPr>
      <w:r>
        <w:rPr>
          <w:rFonts w:hint="eastAsia" w:ascii="宋体" w:hAnsi="宋体" w:cs="宋体"/>
          <w:color w:val="000000"/>
          <w:kern w:val="0"/>
          <w:sz w:val="20"/>
          <w:szCs w:val="20"/>
        </w:rPr>
        <w:t>公开06表</w:t>
      </w:r>
    </w:p>
    <w:p>
      <w:pPr>
        <w:spacing w:line="288" w:lineRule="auto"/>
        <w:jc w:val="left"/>
        <w:rPr>
          <w:rFonts w:ascii="宋体" w:hAnsi="宋体" w:cs="宋体"/>
          <w:color w:val="000000"/>
          <w:kern w:val="0"/>
          <w:sz w:val="20"/>
          <w:szCs w:val="20"/>
        </w:rPr>
      </w:pPr>
      <w:r>
        <w:rPr>
          <w:rFonts w:hint="eastAsia" w:ascii="宋体" w:hAnsi="宋体" w:cs="宋体"/>
          <w:color w:val="000000"/>
          <w:kern w:val="0"/>
          <w:sz w:val="20"/>
          <w:szCs w:val="20"/>
        </w:rPr>
        <w:t>部门：</w:t>
      </w:r>
      <w:r>
        <w:rPr>
          <w:rFonts w:hint="eastAsia" w:ascii="宋体" w:hAnsi="宋体" w:cs="宋体"/>
          <w:color w:val="000000"/>
          <w:kern w:val="0"/>
          <w:sz w:val="20"/>
          <w:szCs w:val="20"/>
          <w:lang w:eastAsia="zh-CN"/>
        </w:rPr>
        <w:t>广州海珠（大埔）产业转移工业园管委会</w:t>
      </w:r>
      <w:r>
        <w:rPr>
          <w:rFonts w:hint="eastAsia" w:ascii="宋体" w:hAnsi="宋体" w:cs="宋体"/>
          <w:color w:val="000000"/>
          <w:kern w:val="0"/>
          <w:sz w:val="20"/>
          <w:szCs w:val="20"/>
        </w:rPr>
        <w:t xml:space="preserve">                                                                        单位：万元</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410"/>
        <w:gridCol w:w="886"/>
        <w:gridCol w:w="1240"/>
        <w:gridCol w:w="241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trPr>
        <w:tc>
          <w:tcPr>
            <w:tcW w:w="4537"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1241"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41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886"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c>
          <w:tcPr>
            <w:tcW w:w="124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经济分类</w:t>
            </w:r>
            <w:r>
              <w:rPr>
                <w:rFonts w:ascii="宋体" w:hAnsi="宋体" w:cs="宋体"/>
                <w:color w:val="000000"/>
                <w:kern w:val="0"/>
                <w:sz w:val="24"/>
              </w:rPr>
              <w:br w:type="textWrapping"/>
            </w:r>
            <w:r>
              <w:rPr>
                <w:rFonts w:hint="eastAsia" w:ascii="宋体" w:hAnsi="宋体" w:cs="宋体"/>
                <w:color w:val="000000"/>
                <w:kern w:val="0"/>
                <w:sz w:val="24"/>
              </w:rPr>
              <w:t>科目编码</w:t>
            </w:r>
          </w:p>
        </w:tc>
        <w:tc>
          <w:tcPr>
            <w:tcW w:w="241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科目名称</w:t>
            </w:r>
          </w:p>
        </w:tc>
        <w:tc>
          <w:tcPr>
            <w:tcW w:w="873"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41" w:type="dxa"/>
            <w:vMerge w:val="continue"/>
            <w:vAlign w:val="center"/>
          </w:tcPr>
          <w:p>
            <w:pPr>
              <w:widowControl/>
              <w:jc w:val="left"/>
              <w:rPr>
                <w:rFonts w:ascii="仿宋" w:hAnsi="仿宋" w:eastAsia="仿宋" w:cs="宋体"/>
                <w:color w:val="000000"/>
                <w:kern w:val="0"/>
                <w:sz w:val="24"/>
              </w:rPr>
            </w:pPr>
          </w:p>
        </w:tc>
        <w:tc>
          <w:tcPr>
            <w:tcW w:w="2410" w:type="dxa"/>
            <w:vMerge w:val="continue"/>
            <w:vAlign w:val="center"/>
          </w:tcPr>
          <w:p>
            <w:pPr>
              <w:widowControl/>
              <w:jc w:val="left"/>
              <w:rPr>
                <w:rFonts w:ascii="仿宋" w:hAnsi="仿宋" w:eastAsia="仿宋" w:cs="宋体"/>
                <w:color w:val="000000"/>
                <w:kern w:val="0"/>
                <w:sz w:val="24"/>
              </w:rPr>
            </w:pPr>
          </w:p>
        </w:tc>
        <w:tc>
          <w:tcPr>
            <w:tcW w:w="886" w:type="dxa"/>
            <w:vMerge w:val="continue"/>
            <w:vAlign w:val="center"/>
          </w:tcPr>
          <w:p>
            <w:pPr>
              <w:widowControl/>
              <w:jc w:val="left"/>
              <w:rPr>
                <w:rFonts w:ascii="仿宋" w:hAnsi="仿宋" w:eastAsia="仿宋" w:cs="宋体"/>
                <w:color w:val="000000"/>
                <w:kern w:val="0"/>
                <w:sz w:val="24"/>
              </w:rPr>
            </w:pPr>
          </w:p>
        </w:tc>
        <w:tc>
          <w:tcPr>
            <w:tcW w:w="1240" w:type="dxa"/>
            <w:vMerge w:val="continue"/>
            <w:vAlign w:val="center"/>
          </w:tcPr>
          <w:p>
            <w:pPr>
              <w:widowControl/>
              <w:jc w:val="left"/>
              <w:rPr>
                <w:rFonts w:ascii="仿宋" w:hAnsi="仿宋" w:eastAsia="仿宋" w:cs="宋体"/>
                <w:color w:val="000000"/>
                <w:kern w:val="0"/>
                <w:sz w:val="24"/>
              </w:rPr>
            </w:pPr>
          </w:p>
        </w:tc>
        <w:tc>
          <w:tcPr>
            <w:tcW w:w="2410" w:type="dxa"/>
            <w:vMerge w:val="continue"/>
            <w:vAlign w:val="center"/>
          </w:tcPr>
          <w:p>
            <w:pPr>
              <w:widowControl/>
              <w:jc w:val="left"/>
              <w:rPr>
                <w:rFonts w:ascii="仿宋" w:hAnsi="仿宋" w:eastAsia="仿宋" w:cs="宋体"/>
                <w:color w:val="000000"/>
                <w:kern w:val="0"/>
                <w:sz w:val="24"/>
              </w:rPr>
            </w:pPr>
          </w:p>
        </w:tc>
        <w:tc>
          <w:tcPr>
            <w:tcW w:w="873" w:type="dxa"/>
            <w:vMerge w:val="continue"/>
            <w:vAlign w:val="center"/>
          </w:tcPr>
          <w:p>
            <w:pPr>
              <w:widowControl/>
              <w:jc w:val="left"/>
              <w:rPr>
                <w:rFonts w:ascii="仿宋" w:hAnsi="仿宋" w:eastAsia="仿宋"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工资福利支出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41.28</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商品和服务支出</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12.13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基本工资</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14.02</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5.19</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津贴补贴</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25.70</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印刷费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奖金</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0.53</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咨询费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其他社会保障缴费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手续费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伙食补助费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水费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0.04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绩效工资</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电费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0.3</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机关事业单位基本养老保险缴费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邮电费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0.4</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职业年金缴费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取暖费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30199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其他工资福利支出</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1.03</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物业管理费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对个人和家庭的补助</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1.48</w:t>
            </w: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差旅费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0.11</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离休费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因公出国（境）费用</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退休费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维修(护)费</w:t>
            </w:r>
          </w:p>
        </w:tc>
        <w:tc>
          <w:tcPr>
            <w:tcW w:w="873"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lang w:val="en-US" w:eastAsia="zh-CN"/>
              </w:rPr>
              <w:t>6.00</w:t>
            </w:r>
            <w:r>
              <w:rPr>
                <w:rFonts w:hint="eastAsia" w:ascii="仿宋" w:hAnsi="仿宋" w:eastAsia="仿宋" w:cs="Arial"/>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退职（役）费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租赁费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抚恤金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会议费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生活补助</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培训费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救济费</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公务接待费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医疗费</w:t>
            </w:r>
          </w:p>
        </w:tc>
        <w:tc>
          <w:tcPr>
            <w:tcW w:w="886" w:type="dxa"/>
            <w:vAlign w:val="center"/>
          </w:tcPr>
          <w:p>
            <w:pPr>
              <w:widowControl/>
              <w:jc w:val="center"/>
              <w:rPr>
                <w:rFonts w:hint="eastAsia" w:ascii="仿宋" w:hAnsi="仿宋" w:eastAsia="仿宋" w:cs="Arial"/>
                <w:color w:val="000000"/>
                <w:kern w:val="0"/>
                <w:sz w:val="24"/>
                <w:lang w:val="en-US" w:eastAsia="zh-CN"/>
              </w:rPr>
            </w:pPr>
            <w:r>
              <w:rPr>
                <w:rFonts w:hint="eastAsia" w:ascii="仿宋" w:hAnsi="仿宋" w:eastAsia="仿宋" w:cs="Arial"/>
                <w:color w:val="000000"/>
                <w:kern w:val="0"/>
                <w:sz w:val="24"/>
                <w:lang w:val="en-US" w:eastAsia="zh-CN"/>
              </w:rPr>
              <w:t>1.48</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30218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专用材料费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助学金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被装购置费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奖励金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专用燃料费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生产补贴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劳务费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住房公积金</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委托业务费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提租补贴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工会经费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购房补贴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30229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福利费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30314</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采暖补贴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公务用车运行维护费</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30315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物业服务补贴</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30239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其他交通费用</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30399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其他对个人和家庭的补助支出</w:t>
            </w:r>
          </w:p>
        </w:tc>
        <w:tc>
          <w:tcPr>
            <w:tcW w:w="886"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30240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税金及附加费用</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30299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其他商品和服务支出</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其他资本性支出</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房屋建筑物购建</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办公设备购置</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专用设备购置</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31005</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基础设施建设</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大型修缮</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信息网络及软件购置更新</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31008</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物资储备</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31009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土地补偿</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安置补助</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地上附着物和青苗补偿</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拆迁补偿</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公务用车购置</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31019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其他交通工具购置</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31020</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产权参股</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31099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其他资本性支出</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对企事业单位的补贴</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企业政策性补贴</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30402</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事业单位补贴</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30403</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财政贴息</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30499</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其他对企事业单位的补贴</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债务利息支出</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30701</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国内债务付息</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30707</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国外债务付息</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其他支出</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41"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2410" w:type="dxa"/>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　</w:t>
            </w:r>
          </w:p>
        </w:tc>
        <w:tc>
          <w:tcPr>
            <w:tcW w:w="886" w:type="dxa"/>
            <w:vAlign w:val="center"/>
          </w:tcPr>
          <w:p>
            <w:pPr>
              <w:widowControl/>
              <w:jc w:val="right"/>
              <w:rPr>
                <w:rFonts w:ascii="仿宋" w:hAnsi="仿宋" w:eastAsia="仿宋" w:cs="Arial"/>
                <w:color w:val="000000"/>
                <w:kern w:val="0"/>
                <w:sz w:val="24"/>
              </w:rPr>
            </w:pPr>
            <w:r>
              <w:rPr>
                <w:rFonts w:hint="eastAsia" w:ascii="仿宋" w:hAnsi="仿宋" w:eastAsia="仿宋" w:cs="Arial"/>
                <w:color w:val="000000"/>
                <w:kern w:val="0"/>
                <w:sz w:val="24"/>
              </w:rPr>
              <w:t>　</w:t>
            </w:r>
          </w:p>
        </w:tc>
        <w:tc>
          <w:tcPr>
            <w:tcW w:w="124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39906</w:t>
            </w:r>
          </w:p>
        </w:tc>
        <w:tc>
          <w:tcPr>
            <w:tcW w:w="2410" w:type="dxa"/>
            <w:vAlign w:val="center"/>
          </w:tcPr>
          <w:p>
            <w:pPr>
              <w:widowControl/>
              <w:jc w:val="left"/>
              <w:rPr>
                <w:rFonts w:ascii="仿宋" w:hAnsi="仿宋" w:eastAsia="仿宋" w:cs="宋体"/>
                <w:color w:val="000000"/>
                <w:kern w:val="0"/>
                <w:sz w:val="24"/>
              </w:rPr>
            </w:pPr>
            <w:r>
              <w:rPr>
                <w:rFonts w:ascii="仿宋" w:hAnsi="仿宋" w:eastAsia="仿宋" w:cs="宋体"/>
                <w:color w:val="000000"/>
                <w:kern w:val="0"/>
                <w:sz w:val="24"/>
              </w:rPr>
              <w:t xml:space="preserve">  赠与</w:t>
            </w:r>
          </w:p>
        </w:tc>
        <w:tc>
          <w:tcPr>
            <w:tcW w:w="873" w:type="dxa"/>
            <w:vAlign w:val="center"/>
          </w:tcPr>
          <w:p>
            <w:pPr>
              <w:widowControl/>
              <w:jc w:val="right"/>
              <w:rPr>
                <w:rFonts w:ascii="仿宋" w:hAnsi="仿宋" w:eastAsia="仿宋" w:cs="Arial"/>
                <w:color w:val="000000"/>
                <w:kern w:val="0"/>
                <w:sz w:val="24"/>
              </w:rPr>
            </w:pPr>
            <w:r>
              <w:rPr>
                <w:rFonts w:hint="eastAsia" w:ascii="宋体" w:hAnsi="宋体" w:cs="宋体"/>
                <w:kern w:val="0"/>
                <w:sz w:val="22"/>
                <w:szCs w:val="22"/>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3651"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人员经费合计</w:t>
            </w:r>
          </w:p>
        </w:tc>
        <w:tc>
          <w:tcPr>
            <w:tcW w:w="886" w:type="dxa"/>
            <w:vAlign w:val="center"/>
          </w:tcPr>
          <w:p>
            <w:pPr>
              <w:widowControl/>
              <w:jc w:val="right"/>
              <w:rPr>
                <w:rFonts w:ascii="宋体" w:hAnsi="宋体" w:cs="Arial"/>
                <w:color w:val="000000"/>
                <w:kern w:val="0"/>
                <w:sz w:val="24"/>
              </w:rPr>
            </w:pPr>
            <w:r>
              <w:rPr>
                <w:rFonts w:hint="eastAsia" w:ascii="宋体" w:hAnsi="宋体" w:cs="Arial"/>
                <w:color w:val="000000"/>
                <w:kern w:val="0"/>
                <w:sz w:val="24"/>
                <w:lang w:val="en-US" w:eastAsia="zh-CN"/>
              </w:rPr>
              <w:t>42.76</w:t>
            </w:r>
            <w:r>
              <w:rPr>
                <w:rFonts w:hint="eastAsia" w:ascii="宋体" w:hAnsi="宋体" w:cs="Arial"/>
                <w:color w:val="000000"/>
                <w:kern w:val="0"/>
                <w:sz w:val="24"/>
              </w:rPr>
              <w:t>　</w:t>
            </w:r>
          </w:p>
        </w:tc>
        <w:tc>
          <w:tcPr>
            <w:tcW w:w="4523"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公用经费合计</w:t>
            </w:r>
            <w:r>
              <w:rPr>
                <w:rFonts w:hint="eastAsia" w:ascii="宋体" w:hAnsi="宋体" w:cs="宋体"/>
                <w:color w:val="000000"/>
                <w:kern w:val="0"/>
                <w:sz w:val="24"/>
                <w:lang w:val="en-US" w:eastAsia="zh-CN"/>
              </w:rPr>
              <w:t xml:space="preserve">        12.13</w:t>
            </w:r>
          </w:p>
        </w:tc>
      </w:tr>
    </w:tbl>
    <w:p>
      <w:pPr>
        <w:snapToGrid w:val="0"/>
        <w:spacing w:line="336" w:lineRule="auto"/>
        <w:rPr>
          <w:rFonts w:ascii="仿宋_GB2312" w:eastAsia="仿宋_GB2312"/>
          <w:sz w:val="28"/>
          <w:szCs w:val="28"/>
        </w:rPr>
      </w:pPr>
      <w:r>
        <w:rPr>
          <w:rFonts w:hint="eastAsia" w:ascii="仿宋_GB2312" w:eastAsia="仿宋_GB2312"/>
          <w:sz w:val="28"/>
          <w:szCs w:val="28"/>
        </w:rPr>
        <w:t>注：本表反映部门本年度一般公共预算财政拨款基本支出明细情况。有关填表说明：</w:t>
      </w:r>
    </w:p>
    <w:p>
      <w:pPr>
        <w:snapToGrid w:val="0"/>
        <w:spacing w:line="336" w:lineRule="auto"/>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napToGrid w:val="0"/>
        <w:spacing w:line="336" w:lineRule="auto"/>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本表经济分类科目填列到款级支出科目，没有发生数的支出科目不用填列。</w:t>
      </w:r>
    </w:p>
    <w:p>
      <w:pPr>
        <w:snapToGrid w:val="0"/>
        <w:spacing w:line="336" w:lineRule="auto"/>
        <w:ind w:firstLine="523" w:firstLineChars="187"/>
        <w:rPr>
          <w:rFonts w:ascii="仿宋_GB2312" w:eastAsia="仿宋_GB2312"/>
          <w:sz w:val="28"/>
          <w:szCs w:val="28"/>
        </w:rPr>
      </w:pPr>
      <w:r>
        <w:rPr>
          <w:rFonts w:hint="eastAsia" w:ascii="仿宋_GB2312" w:hAnsi="宋体" w:eastAsia="仿宋_GB2312"/>
          <w:sz w:val="28"/>
          <w:szCs w:val="28"/>
        </w:rPr>
        <w:t>（3）</w:t>
      </w:r>
      <w:r>
        <w:rPr>
          <w:rFonts w:hint="eastAsia" w:ascii="仿宋_GB2312" w:eastAsia="仿宋_GB2312"/>
          <w:sz w:val="28"/>
          <w:szCs w:val="28"/>
        </w:rPr>
        <w:t>此表没有发生数据的，在合计行填“0”，并在该表下方附简要说明。</w:t>
      </w:r>
    </w:p>
    <w:p>
      <w:pPr>
        <w:snapToGrid w:val="0"/>
        <w:spacing w:line="336" w:lineRule="auto"/>
        <w:ind w:firstLine="560" w:firstLineChars="200"/>
        <w:rPr>
          <w:rFonts w:ascii="仿宋_GB2312" w:eastAsia="仿宋_GB2312"/>
          <w:sz w:val="28"/>
          <w:szCs w:val="28"/>
        </w:rPr>
      </w:pPr>
      <w:r>
        <w:rPr>
          <w:rFonts w:hint="eastAsia" w:ascii="仿宋_GB2312" w:eastAsia="仿宋_GB2312"/>
          <w:sz w:val="28"/>
          <w:szCs w:val="28"/>
        </w:rPr>
        <w:t>（4）该表数据来源于部门决算报表中的《一般公共预算财政拨款基本支出决算明细表》（财决08-1表）。</w:t>
      </w:r>
    </w:p>
    <w:p>
      <w:pPr>
        <w:spacing w:line="288" w:lineRule="auto"/>
        <w:rPr>
          <w:rFonts w:ascii="仿宋_GB2312" w:eastAsia="仿宋_GB2312"/>
          <w:b/>
          <w:sz w:val="32"/>
          <w:szCs w:val="32"/>
        </w:rPr>
      </w:pPr>
    </w:p>
    <w:tbl>
      <w:tblPr>
        <w:tblStyle w:val="7"/>
        <w:tblW w:w="9215" w:type="dxa"/>
        <w:tblInd w:w="-176" w:type="dxa"/>
        <w:tblLayout w:type="fixed"/>
        <w:tblCellMar>
          <w:top w:w="0" w:type="dxa"/>
          <w:left w:w="108" w:type="dxa"/>
          <w:bottom w:w="0" w:type="dxa"/>
          <w:right w:w="108" w:type="dxa"/>
        </w:tblCellMar>
      </w:tblPr>
      <w:tblGrid>
        <w:gridCol w:w="269"/>
        <w:gridCol w:w="532"/>
        <w:gridCol w:w="151"/>
        <w:gridCol w:w="373"/>
        <w:gridCol w:w="353"/>
        <w:gridCol w:w="719"/>
        <w:gridCol w:w="722"/>
        <w:gridCol w:w="704"/>
        <w:gridCol w:w="289"/>
        <w:gridCol w:w="515"/>
        <w:gridCol w:w="529"/>
        <w:gridCol w:w="166"/>
        <w:gridCol w:w="801"/>
        <w:gridCol w:w="32"/>
        <w:gridCol w:w="742"/>
        <w:gridCol w:w="58"/>
        <w:gridCol w:w="663"/>
        <w:gridCol w:w="305"/>
        <w:gridCol w:w="436"/>
        <w:gridCol w:w="698"/>
        <w:gridCol w:w="158"/>
      </w:tblGrid>
      <w:tr>
        <w:tblPrEx>
          <w:tblLayout w:type="fixed"/>
          <w:tblCellMar>
            <w:top w:w="0" w:type="dxa"/>
            <w:left w:w="108" w:type="dxa"/>
            <w:bottom w:w="0" w:type="dxa"/>
            <w:right w:w="108" w:type="dxa"/>
          </w:tblCellMar>
        </w:tblPrEx>
        <w:trPr>
          <w:trHeight w:val="600" w:hRule="atLeast"/>
        </w:trPr>
        <w:tc>
          <w:tcPr>
            <w:tcW w:w="9215" w:type="dxa"/>
            <w:gridSpan w:val="21"/>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一般公共预算财政拨款“三公”经费支出决算表</w:t>
            </w:r>
          </w:p>
        </w:tc>
      </w:tr>
      <w:tr>
        <w:tblPrEx>
          <w:tblLayout w:type="fixed"/>
          <w:tblCellMar>
            <w:top w:w="0" w:type="dxa"/>
            <w:left w:w="108" w:type="dxa"/>
            <w:bottom w:w="0" w:type="dxa"/>
            <w:right w:w="108" w:type="dxa"/>
          </w:tblCellMar>
        </w:tblPrEx>
        <w:trPr>
          <w:gridBefore w:val="1"/>
          <w:gridAfter w:val="1"/>
          <w:wBefore w:w="269" w:type="dxa"/>
          <w:wAfter w:w="158" w:type="dxa"/>
          <w:trHeight w:val="222" w:hRule="atLeast"/>
        </w:trPr>
        <w:tc>
          <w:tcPr>
            <w:tcW w:w="683" w:type="dxa"/>
            <w:gridSpan w:val="2"/>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gridSpan w:val="3"/>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公开07表</w:t>
            </w:r>
          </w:p>
        </w:tc>
      </w:tr>
      <w:tr>
        <w:tblPrEx>
          <w:tblLayout w:type="fixed"/>
          <w:tblCellMar>
            <w:top w:w="0" w:type="dxa"/>
            <w:left w:w="108" w:type="dxa"/>
            <w:bottom w:w="0" w:type="dxa"/>
            <w:right w:w="108" w:type="dxa"/>
          </w:tblCellMar>
        </w:tblPrEx>
        <w:trPr>
          <w:gridBefore w:val="1"/>
          <w:gridAfter w:val="1"/>
          <w:wBefore w:w="269" w:type="dxa"/>
          <w:wAfter w:w="158" w:type="dxa"/>
          <w:trHeight w:val="300" w:hRule="atLeast"/>
        </w:trPr>
        <w:tc>
          <w:tcPr>
            <w:tcW w:w="1056" w:type="dxa"/>
            <w:gridSpan w:val="3"/>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gridSpan w:val="3"/>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广州海珠（大埔）产业转移工业园管委会</w:t>
            </w:r>
            <w:r>
              <w:rPr>
                <w:rFonts w:hint="eastAsia" w:ascii="宋体" w:hAnsi="宋体" w:cs="宋体"/>
                <w:kern w:val="0"/>
                <w:sz w:val="20"/>
                <w:szCs w:val="20"/>
              </w:rPr>
              <w:t>　</w:t>
            </w:r>
          </w:p>
        </w:tc>
        <w:tc>
          <w:tcPr>
            <w:tcW w:w="993"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gridSpan w:val="2"/>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gridSpan w:val="3"/>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gridSpan w:val="2"/>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gridSpan w:val="2"/>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559" w:hRule="atLeast"/>
        </w:trPr>
        <w:tc>
          <w:tcPr>
            <w:tcW w:w="4627" w:type="dxa"/>
            <w:gridSpan w:val="10"/>
            <w:tcBorders>
              <w:top w:val="single" w:color="auto" w:sz="8"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xx年度预算数</w:t>
            </w:r>
          </w:p>
        </w:tc>
        <w:tc>
          <w:tcPr>
            <w:tcW w:w="4588" w:type="dxa"/>
            <w:gridSpan w:val="11"/>
            <w:tcBorders>
              <w:top w:val="single" w:color="auto" w:sz="8" w:space="0"/>
              <w:left w:val="nil"/>
              <w:bottom w:val="single" w:color="auto" w:sz="4" w:space="0"/>
              <w:right w:val="single" w:color="000000"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xx年度决算数</w:t>
            </w:r>
          </w:p>
        </w:tc>
      </w:tr>
      <w:tr>
        <w:tblPrEx>
          <w:tblLayout w:type="fixed"/>
          <w:tblCellMar>
            <w:top w:w="0" w:type="dxa"/>
            <w:left w:w="108" w:type="dxa"/>
            <w:bottom w:w="0" w:type="dxa"/>
            <w:right w:w="108" w:type="dxa"/>
          </w:tblCellMar>
        </w:tblPrEx>
        <w:trPr>
          <w:trHeight w:val="600" w:hRule="atLeast"/>
        </w:trPr>
        <w:tc>
          <w:tcPr>
            <w:tcW w:w="801" w:type="dxa"/>
            <w:gridSpan w:val="2"/>
            <w:vMerge w:val="restart"/>
            <w:tcBorders>
              <w:top w:val="nil"/>
              <w:left w:val="single" w:color="auto" w:sz="8"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77" w:type="dxa"/>
            <w:gridSpan w:val="3"/>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145"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695" w:type="dxa"/>
            <w:gridSpan w:val="2"/>
            <w:vMerge w:val="restart"/>
            <w:tcBorders>
              <w:top w:val="nil"/>
              <w:left w:val="nil"/>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合计</w:t>
            </w:r>
          </w:p>
        </w:tc>
        <w:tc>
          <w:tcPr>
            <w:tcW w:w="83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2204"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856" w:type="dxa"/>
            <w:gridSpan w:val="2"/>
            <w:vMerge w:val="restart"/>
            <w:tcBorders>
              <w:top w:val="nil"/>
              <w:left w:val="single" w:color="auto" w:sz="4" w:space="0"/>
              <w:bottom w:val="single" w:color="000000"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公务接待费</w:t>
            </w:r>
          </w:p>
        </w:tc>
      </w:tr>
      <w:tr>
        <w:tblPrEx>
          <w:tblLayout w:type="fixed"/>
          <w:tblCellMar>
            <w:top w:w="0" w:type="dxa"/>
            <w:left w:w="108" w:type="dxa"/>
            <w:bottom w:w="0" w:type="dxa"/>
            <w:right w:w="108" w:type="dxa"/>
          </w:tblCellMar>
        </w:tblPrEx>
        <w:trPr>
          <w:trHeight w:val="600" w:hRule="atLeast"/>
        </w:trPr>
        <w:tc>
          <w:tcPr>
            <w:tcW w:w="801" w:type="dxa"/>
            <w:gridSpan w:val="2"/>
            <w:vMerge w:val="continue"/>
            <w:tcBorders>
              <w:top w:val="nil"/>
              <w:left w:val="single" w:color="auto" w:sz="8"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877"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2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695" w:type="dxa"/>
            <w:gridSpan w:val="2"/>
            <w:vMerge w:val="continue"/>
            <w:tcBorders>
              <w:top w:val="nil"/>
              <w:left w:val="nil"/>
              <w:bottom w:val="single" w:color="000000" w:sz="4" w:space="0"/>
              <w:right w:val="single" w:color="auto" w:sz="4" w:space="0"/>
            </w:tcBorders>
            <w:vAlign w:val="center"/>
          </w:tcPr>
          <w:p>
            <w:pPr>
              <w:widowControl/>
              <w:jc w:val="left"/>
              <w:rPr>
                <w:rFonts w:ascii="宋体" w:hAnsi="宋体" w:cs="宋体"/>
                <w:kern w:val="0"/>
                <w:sz w:val="22"/>
                <w:szCs w:val="22"/>
              </w:rPr>
            </w:pPr>
          </w:p>
        </w:tc>
        <w:tc>
          <w:tcPr>
            <w:tcW w:w="83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7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小计</w:t>
            </w:r>
          </w:p>
        </w:tc>
        <w:tc>
          <w:tcPr>
            <w:tcW w:w="7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856" w:type="dxa"/>
            <w:gridSpan w:val="2"/>
            <w:vMerge w:val="continue"/>
            <w:tcBorders>
              <w:top w:val="nil"/>
              <w:left w:val="single" w:color="auto" w:sz="4" w:space="0"/>
              <w:bottom w:val="single" w:color="000000" w:sz="4" w:space="0"/>
              <w:right w:val="single" w:color="auto" w:sz="8" w:space="0"/>
            </w:tcBorders>
            <w:vAlign w:val="center"/>
          </w:tcPr>
          <w:p>
            <w:pPr>
              <w:widowControl/>
              <w:jc w:val="left"/>
              <w:rPr>
                <w:rFonts w:ascii="宋体" w:hAnsi="宋体" w:cs="宋体"/>
                <w:kern w:val="0"/>
                <w:sz w:val="22"/>
                <w:szCs w:val="22"/>
              </w:rPr>
            </w:pPr>
          </w:p>
        </w:tc>
      </w:tr>
      <w:tr>
        <w:tblPrEx>
          <w:tblLayout w:type="fixed"/>
          <w:tblCellMar>
            <w:top w:w="0" w:type="dxa"/>
            <w:left w:w="108" w:type="dxa"/>
            <w:bottom w:w="0" w:type="dxa"/>
            <w:right w:w="108" w:type="dxa"/>
          </w:tblCellMar>
        </w:tblPrEx>
        <w:trPr>
          <w:trHeight w:val="559" w:hRule="atLeast"/>
        </w:trPr>
        <w:tc>
          <w:tcPr>
            <w:tcW w:w="801"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87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719"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72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704"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804"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695"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833"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742"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72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10</w:t>
            </w:r>
          </w:p>
        </w:tc>
        <w:tc>
          <w:tcPr>
            <w:tcW w:w="74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11</w:t>
            </w:r>
          </w:p>
        </w:tc>
        <w:tc>
          <w:tcPr>
            <w:tcW w:w="856" w:type="dxa"/>
            <w:gridSpan w:val="2"/>
            <w:tcBorders>
              <w:top w:val="nil"/>
              <w:left w:val="nil"/>
              <w:bottom w:val="single" w:color="auto" w:sz="4" w:space="0"/>
              <w:right w:val="single" w:color="auto" w:sz="8"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12</w:t>
            </w:r>
          </w:p>
        </w:tc>
      </w:tr>
      <w:tr>
        <w:tblPrEx>
          <w:tblLayout w:type="fixed"/>
          <w:tblCellMar>
            <w:top w:w="0" w:type="dxa"/>
            <w:left w:w="108" w:type="dxa"/>
            <w:bottom w:w="0" w:type="dxa"/>
            <w:right w:w="108" w:type="dxa"/>
          </w:tblCellMar>
        </w:tblPrEx>
        <w:trPr>
          <w:trHeight w:val="855" w:hRule="atLeast"/>
        </w:trPr>
        <w:tc>
          <w:tcPr>
            <w:tcW w:w="801" w:type="dxa"/>
            <w:gridSpan w:val="2"/>
            <w:tcBorders>
              <w:top w:val="nil"/>
              <w:left w:val="single" w:color="auto" w:sz="8" w:space="0"/>
              <w:bottom w:val="single" w:color="auto" w:sz="8"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lang w:val="en-US" w:eastAsia="zh-CN"/>
              </w:rPr>
              <w:t>2.00</w:t>
            </w:r>
          </w:p>
        </w:tc>
        <w:tc>
          <w:tcPr>
            <w:tcW w:w="877" w:type="dxa"/>
            <w:gridSpan w:val="3"/>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19"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22"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04"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804"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2.00</w:t>
            </w:r>
          </w:p>
        </w:tc>
        <w:tc>
          <w:tcPr>
            <w:tcW w:w="695"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2.00</w:t>
            </w:r>
          </w:p>
        </w:tc>
        <w:tc>
          <w:tcPr>
            <w:tcW w:w="833"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42" w:type="dxa"/>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21" w:type="dxa"/>
            <w:gridSpan w:val="2"/>
            <w:tcBorders>
              <w:top w:val="nil"/>
              <w:left w:val="nil"/>
              <w:bottom w:val="single" w:color="auto" w:sz="8"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741" w:type="dxa"/>
            <w:gridSpan w:val="2"/>
            <w:tcBorders>
              <w:top w:val="nil"/>
              <w:left w:val="nil"/>
              <w:bottom w:val="single" w:color="auto" w:sz="8" w:space="0"/>
              <w:right w:val="nil"/>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0.00</w:t>
            </w:r>
          </w:p>
        </w:tc>
        <w:tc>
          <w:tcPr>
            <w:tcW w:w="856" w:type="dxa"/>
            <w:gridSpan w:val="2"/>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2"/>
                <w:szCs w:val="22"/>
              </w:rPr>
            </w:pPr>
            <w:r>
              <w:rPr>
                <w:rFonts w:hint="eastAsia" w:ascii="宋体" w:hAnsi="宋体" w:cs="宋体"/>
                <w:kern w:val="0"/>
                <w:sz w:val="22"/>
                <w:szCs w:val="22"/>
                <w:lang w:val="en-US" w:eastAsia="zh-CN"/>
              </w:rPr>
              <w:t>2.00</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注：本表反映部门本年度财政拨款“三公”经费支出情况。有关填表说明：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（1）本表数据填列数据以“万元”为金额单位，保留两位小数。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xx年预算数为“三公”年初预算数，决算数包括当年财政拨款预算和以前年度结转资金安排的实际支出。</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（3）1栏=（2+3+6）栏，3栏=（4+5）栏。7栏=（8+9+12）栏。9栏=（10+11）栏。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（4）“三公”数据合计为零的，在合计栏填列“0”，并在决算情况说明中予以说明。</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tbl>
      <w:tblPr>
        <w:tblStyle w:val="7"/>
        <w:tblW w:w="8788" w:type="dxa"/>
        <w:tblInd w:w="93" w:type="dxa"/>
        <w:tblLayout w:type="fixed"/>
        <w:tblCellMar>
          <w:top w:w="0" w:type="dxa"/>
          <w:left w:w="108" w:type="dxa"/>
          <w:bottom w:w="0" w:type="dxa"/>
          <w:right w:w="108" w:type="dxa"/>
        </w:tblCellMar>
      </w:tblPr>
      <w:tblGrid>
        <w:gridCol w:w="683"/>
        <w:gridCol w:w="373"/>
        <w:gridCol w:w="1794"/>
        <w:gridCol w:w="993"/>
        <w:gridCol w:w="1044"/>
        <w:gridCol w:w="967"/>
        <w:gridCol w:w="832"/>
        <w:gridCol w:w="968"/>
        <w:gridCol w:w="1134"/>
      </w:tblGrid>
      <w:tr>
        <w:tblPrEx>
          <w:tblLayout w:type="fixed"/>
          <w:tblCellMar>
            <w:top w:w="0" w:type="dxa"/>
            <w:left w:w="108" w:type="dxa"/>
            <w:bottom w:w="0" w:type="dxa"/>
            <w:right w:w="108" w:type="dxa"/>
          </w:tblCellMar>
        </w:tblPrEx>
        <w:trPr>
          <w:trHeight w:val="600" w:hRule="atLeast"/>
        </w:trPr>
        <w:tc>
          <w:tcPr>
            <w:tcW w:w="8788" w:type="dxa"/>
            <w:gridSpan w:val="9"/>
            <w:shd w:val="clear" w:color="auto"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政府性基金预算财政拨款收入支出决算表</w:t>
            </w:r>
          </w:p>
        </w:tc>
      </w:tr>
      <w:tr>
        <w:tblPrEx>
          <w:tblLayout w:type="fixed"/>
          <w:tblCellMar>
            <w:top w:w="0" w:type="dxa"/>
            <w:left w:w="108" w:type="dxa"/>
            <w:bottom w:w="0" w:type="dxa"/>
            <w:right w:w="108" w:type="dxa"/>
          </w:tblCellMar>
        </w:tblPrEx>
        <w:trPr>
          <w:trHeight w:val="222" w:hRule="atLeast"/>
        </w:trPr>
        <w:tc>
          <w:tcPr>
            <w:tcW w:w="68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73"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93"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公开08表</w:t>
            </w:r>
          </w:p>
        </w:tc>
      </w:tr>
      <w:tr>
        <w:tblPrEx>
          <w:tblLayout w:type="fixed"/>
          <w:tblCellMar>
            <w:top w:w="0" w:type="dxa"/>
            <w:left w:w="108" w:type="dxa"/>
            <w:bottom w:w="0" w:type="dxa"/>
            <w:right w:w="108" w:type="dxa"/>
          </w:tblCellMar>
        </w:tblPrEx>
        <w:trPr>
          <w:trHeight w:val="300" w:hRule="atLeast"/>
        </w:trPr>
        <w:tc>
          <w:tcPr>
            <w:tcW w:w="1056"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部门：</w:t>
            </w:r>
          </w:p>
        </w:tc>
        <w:tc>
          <w:tcPr>
            <w:tcW w:w="1794" w:type="dxa"/>
            <w:shd w:val="clear" w:color="auto" w:fill="FFFFFF"/>
            <w:vAlign w:val="center"/>
          </w:tcPr>
          <w:p>
            <w:pPr>
              <w:widowControl/>
              <w:jc w:val="center"/>
              <w:rPr>
                <w:rFonts w:ascii="宋体" w:hAnsi="宋体" w:cs="宋体"/>
                <w:kern w:val="0"/>
                <w:sz w:val="20"/>
                <w:szCs w:val="20"/>
              </w:rPr>
            </w:pPr>
            <w:r>
              <w:rPr>
                <w:rFonts w:hint="eastAsia" w:ascii="宋体" w:hAnsi="宋体" w:cs="宋体"/>
                <w:color w:val="000000"/>
                <w:kern w:val="0"/>
                <w:sz w:val="20"/>
                <w:szCs w:val="20"/>
                <w:lang w:eastAsia="zh-CN"/>
              </w:rPr>
              <w:t>广州海珠（大埔）产业转移工业园管委会</w:t>
            </w:r>
            <w:bookmarkStart w:id="0" w:name="_GoBack"/>
            <w:bookmarkEnd w:id="0"/>
            <w:r>
              <w:rPr>
                <w:rFonts w:hint="eastAsia" w:ascii="宋体" w:hAnsi="宋体" w:cs="宋体"/>
                <w:kern w:val="0"/>
                <w:sz w:val="20"/>
                <w:szCs w:val="20"/>
              </w:rPr>
              <w:t>　</w:t>
            </w:r>
          </w:p>
        </w:tc>
        <w:tc>
          <w:tcPr>
            <w:tcW w:w="993"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044"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7"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832" w:type="dxa"/>
            <w:tcBorders>
              <w:top w:val="nil"/>
              <w:left w:val="nil"/>
              <w:bottom w:val="single" w:color="auto" w:sz="8" w:space="0"/>
              <w:right w:val="nil"/>
            </w:tcBorders>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968" w:type="dxa"/>
            <w:shd w:val="clear" w:color="auto"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134" w:type="dxa"/>
            <w:shd w:val="clear" w:color="auto" w:fill="FFFFFF"/>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trHeight w:val="405" w:hRule="atLeast"/>
        </w:trPr>
        <w:tc>
          <w:tcPr>
            <w:tcW w:w="2850" w:type="dxa"/>
            <w:gridSpan w:val="3"/>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993"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04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276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1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5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7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83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968"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5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7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993"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04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832"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968"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1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850" w:type="dxa"/>
            <w:gridSpan w:val="3"/>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2850" w:type="dxa"/>
            <w:gridSpan w:val="3"/>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城乡社区支出　</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城市公用事业附加及对应专项债务收入安排的支出</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2120901</w:t>
            </w:r>
          </w:p>
        </w:tc>
        <w:tc>
          <w:tcPr>
            <w:tcW w:w="1794"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城市公共设施</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0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7"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8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968"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c>
          <w:tcPr>
            <w:tcW w:w="1134"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2"/>
                <w:szCs w:val="22"/>
                <w:lang w:val="en-US" w:eastAsia="zh-CN"/>
              </w:rPr>
              <w:t>0.00</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4" w:space="0"/>
              <w:right w:val="single" w:color="auto" w:sz="4" w:space="0"/>
            </w:tcBorders>
            <w:vAlign w:val="center"/>
          </w:tcPr>
          <w:p>
            <w:pPr>
              <w:widowControl/>
              <w:rPr>
                <w:rFonts w:ascii="宋体" w:hAnsi="宋体" w:cs="宋体"/>
                <w:kern w:val="0"/>
                <w:sz w:val="24"/>
              </w:rPr>
            </w:pPr>
            <w:r>
              <w:rPr>
                <w:rFonts w:hint="eastAsia" w:ascii="宋体" w:hAnsi="宋体" w:cs="宋体"/>
                <w:kern w:val="0"/>
                <w:sz w:val="24"/>
              </w:rPr>
              <w:t>……</w:t>
            </w:r>
          </w:p>
        </w:tc>
        <w:tc>
          <w:tcPr>
            <w:tcW w:w="179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w:t>
            </w:r>
          </w:p>
        </w:tc>
        <w:tc>
          <w:tcPr>
            <w:tcW w:w="993"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4"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56" w:type="dxa"/>
            <w:gridSpan w:val="2"/>
            <w:tcBorders>
              <w:top w:val="single" w:color="auto" w:sz="4" w:space="0"/>
              <w:left w:val="single" w:color="auto" w:sz="8" w:space="0"/>
              <w:bottom w:val="single" w:color="auto" w:sz="8" w:space="0"/>
              <w:right w:val="single" w:color="auto" w:sz="4" w:space="0"/>
            </w:tcBorders>
            <w:vAlign w:val="center"/>
          </w:tcPr>
          <w:p>
            <w:pPr>
              <w:widowControl/>
              <w:rPr>
                <w:rFonts w:ascii="宋体" w:hAnsi="宋体" w:cs="宋体"/>
                <w:kern w:val="0"/>
                <w:sz w:val="24"/>
              </w:rPr>
            </w:pPr>
          </w:p>
        </w:tc>
        <w:tc>
          <w:tcPr>
            <w:tcW w:w="179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p>
        </w:tc>
        <w:tc>
          <w:tcPr>
            <w:tcW w:w="993"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044"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7"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832" w:type="dxa"/>
            <w:tcBorders>
              <w:top w:val="nil"/>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968" w:type="dxa"/>
            <w:tcBorders>
              <w:top w:val="nil"/>
              <w:left w:val="nil"/>
              <w:bottom w:val="single" w:color="auto" w:sz="8" w:space="0"/>
              <w:right w:val="nil"/>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134" w:type="dxa"/>
            <w:tcBorders>
              <w:top w:val="nil"/>
              <w:left w:val="single" w:color="auto" w:sz="4" w:space="0"/>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spacing w:line="288" w:lineRule="auto"/>
        <w:rPr>
          <w:rFonts w:ascii="仿宋_GB2312" w:eastAsia="仿宋_GB2312"/>
          <w:sz w:val="28"/>
          <w:szCs w:val="28"/>
        </w:rPr>
      </w:pPr>
      <w:r>
        <w:rPr>
          <w:rFonts w:hint="eastAsia" w:ascii="仿宋_GB2312" w:eastAsia="仿宋_GB2312"/>
          <w:sz w:val="28"/>
          <w:szCs w:val="28"/>
        </w:rPr>
        <w:t>注：本表反映部门本年度政府性基金预算财政拨款收支情况。有关填表说明：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（1）本表数据填列当年决算数，以“万元”为金额单位，保留两位小数。</w:t>
      </w:r>
    </w:p>
    <w:p>
      <w:pPr>
        <w:spacing w:line="580" w:lineRule="exact"/>
        <w:ind w:firstLine="560" w:firstLineChars="200"/>
        <w:rPr>
          <w:rFonts w:ascii="仿宋_GB2312" w:eastAsia="仿宋_GB2312"/>
          <w:sz w:val="28"/>
          <w:szCs w:val="28"/>
        </w:rPr>
      </w:pPr>
      <w:r>
        <w:rPr>
          <w:rFonts w:hint="eastAsia" w:ascii="仿宋_GB2312" w:hAnsi="宋体" w:eastAsia="仿宋_GB2312"/>
          <w:sz w:val="28"/>
          <w:szCs w:val="28"/>
        </w:rPr>
        <w:t>（2）</w:t>
      </w:r>
      <w:r>
        <w:rPr>
          <w:rFonts w:hint="eastAsia" w:ascii="仿宋_GB2312" w:eastAsia="仿宋_GB2312"/>
          <w:sz w:val="28"/>
          <w:szCs w:val="28"/>
        </w:rPr>
        <w:t>本表功能科目填列到项级支出科目，没有发生数的支出科目不用填列。</w:t>
      </w:r>
    </w:p>
    <w:p>
      <w:pPr>
        <w:spacing w:line="580" w:lineRule="exact"/>
        <w:ind w:firstLine="560" w:firstLineChars="200"/>
        <w:rPr>
          <w:rFonts w:ascii="仿宋_GB2312" w:hAnsi="宋体" w:eastAsia="仿宋_GB2312"/>
          <w:sz w:val="28"/>
          <w:szCs w:val="28"/>
        </w:rPr>
      </w:pPr>
      <w:r>
        <w:rPr>
          <w:rFonts w:hint="eastAsia" w:ascii="仿宋_GB2312" w:hAnsi="宋体" w:eastAsia="仿宋_GB2312"/>
          <w:sz w:val="28"/>
          <w:szCs w:val="28"/>
        </w:rPr>
        <w:t>（3）（1+2-3）栏=6栏，3栏=（4+5）栏。</w:t>
      </w:r>
    </w:p>
    <w:p>
      <w:pPr>
        <w:spacing w:line="360" w:lineRule="auto"/>
        <w:ind w:firstLine="523" w:firstLineChars="187"/>
        <w:rPr>
          <w:rFonts w:ascii="仿宋_GB2312" w:eastAsia="仿宋_GB2312"/>
          <w:sz w:val="28"/>
          <w:szCs w:val="28"/>
        </w:rPr>
      </w:pPr>
      <w:r>
        <w:rPr>
          <w:rFonts w:hint="eastAsia" w:ascii="仿宋_GB2312" w:eastAsia="仿宋_GB2312"/>
          <w:sz w:val="28"/>
          <w:szCs w:val="28"/>
        </w:rPr>
        <w:t>（4）此表没有发生数据的，在合计行填“0”，并在该表下方附简要说明。</w:t>
      </w:r>
    </w:p>
    <w:p>
      <w:pPr>
        <w:ind w:firstLine="560" w:firstLineChars="200"/>
        <w:jc w:val="both"/>
        <w:rPr>
          <w:rFonts w:hint="eastAsia" w:ascii="仿宋_GB2312" w:eastAsia="仿宋_GB2312"/>
          <w:sz w:val="28"/>
          <w:szCs w:val="28"/>
        </w:rPr>
      </w:pPr>
      <w:r>
        <w:rPr>
          <w:rFonts w:hint="eastAsia" w:ascii="仿宋_GB2312" w:eastAsia="仿宋_GB2312"/>
          <w:sz w:val="28"/>
          <w:szCs w:val="28"/>
        </w:rPr>
        <w:t>（5）该表数据来源于部门决算报表中的《政府性基金预算财政拨款收入支出决算表》（财决09表）和《项目收入支出决算表》（财决06表）。</w:t>
      </w:r>
    </w:p>
    <w:p>
      <w:pPr>
        <w:rPr>
          <w:sz w:val="28"/>
          <w:szCs w:val="28"/>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第三部分2015年广州海珠（大埔）产业转移工业园管委会部门决算情况说明</w:t>
      </w:r>
    </w:p>
    <w:p>
      <w:pPr>
        <w:spacing w:line="288"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一、2015年度收入支出决算总体情况说明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支出决算总规模、各类支出决算规模及各类支出增减变化情况。</w:t>
      </w:r>
    </w:p>
    <w:p>
      <w:pPr>
        <w:spacing w:line="288"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（一）年度收入总体情况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广州海珠（大埔）产业转移工业园管委会</w:t>
      </w:r>
      <w:r>
        <w:rPr>
          <w:rFonts w:hint="eastAsia" w:ascii="仿宋_GB2312" w:hAnsi="仿宋_GB2312" w:eastAsia="仿宋_GB2312" w:cs="仿宋_GB2312"/>
          <w:sz w:val="32"/>
          <w:szCs w:val="32"/>
        </w:rPr>
        <w:t>2015年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总收入82.39万元</w:t>
      </w:r>
      <w:r>
        <w:rPr>
          <w:rFonts w:hint="eastAsia" w:ascii="仿宋_GB2312" w:hAnsi="仿宋_GB2312" w:eastAsia="仿宋_GB2312" w:cs="仿宋_GB2312"/>
          <w:sz w:val="32"/>
          <w:szCs w:val="32"/>
          <w:lang w:eastAsia="zh-CN"/>
        </w:rPr>
        <w:t>，其中本年收入</w:t>
      </w:r>
      <w:r>
        <w:rPr>
          <w:rFonts w:hint="eastAsia" w:ascii="仿宋_GB2312" w:hAnsi="仿宋_GB2312" w:eastAsia="仿宋_GB2312" w:cs="仿宋_GB2312"/>
          <w:sz w:val="32"/>
          <w:szCs w:val="32"/>
          <w:lang w:val="en-US" w:eastAsia="zh-CN"/>
        </w:rPr>
        <w:t>82.39万元。具体情况如下：</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财政拨款收入54.89万元</w:t>
      </w:r>
      <w:r>
        <w:rPr>
          <w:rFonts w:hint="eastAsia" w:ascii="仿宋_GB2312" w:hAnsi="仿宋_GB2312" w:eastAsia="仿宋_GB2312" w:cs="仿宋_GB2312"/>
          <w:sz w:val="32"/>
          <w:szCs w:val="32"/>
          <w:lang w:eastAsia="zh-CN"/>
        </w:rPr>
        <w:t>。本单位成立时间是</w:t>
      </w:r>
      <w:r>
        <w:rPr>
          <w:rFonts w:hint="eastAsia" w:ascii="仿宋_GB2312" w:hAnsi="仿宋_GB2312" w:eastAsia="仿宋_GB2312" w:cs="仿宋_GB2312"/>
          <w:sz w:val="32"/>
          <w:szCs w:val="32"/>
          <w:lang w:val="en-US" w:eastAsia="zh-CN"/>
        </w:rPr>
        <w:t>2014年9月，所以无同比。</w:t>
      </w:r>
    </w:p>
    <w:p>
      <w:pPr>
        <w:spacing w:line="288"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上级补助收入0.00万元，比上年决算数增加（减少）0.00万元，增长（下降）0.00 %。</w:t>
      </w:r>
    </w:p>
    <w:p>
      <w:pPr>
        <w:spacing w:line="288"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3．事业收入0.00万元，比上年决算数增加（减少）0.00万元，增长（下降）0.00%。</w:t>
      </w:r>
    </w:p>
    <w:p>
      <w:pPr>
        <w:spacing w:line="288"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4．经营收入0.00万元，比上年决算数增加（减少）0.00万元，增长（下降）0.00%。</w:t>
      </w:r>
    </w:p>
    <w:p>
      <w:pPr>
        <w:spacing w:line="288"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5．其他收入</w:t>
      </w:r>
      <w:r>
        <w:rPr>
          <w:rFonts w:hint="eastAsia" w:ascii="仿宋_GB2312" w:hAnsi="仿宋_GB2312" w:eastAsia="仿宋_GB2312" w:cs="仿宋_GB2312"/>
          <w:sz w:val="32"/>
          <w:szCs w:val="32"/>
          <w:lang w:val="en-US" w:eastAsia="zh-CN"/>
        </w:rPr>
        <w:t>27.5</w:t>
      </w:r>
      <w:r>
        <w:rPr>
          <w:rFonts w:hint="eastAsia" w:ascii="仿宋_GB2312" w:hAnsi="仿宋_GB2312" w:eastAsia="仿宋_GB2312" w:cs="仿宋_GB2312"/>
          <w:sz w:val="32"/>
          <w:szCs w:val="32"/>
        </w:rPr>
        <w:t>万元，比上年决算数增加（减少）0.00万元，增长（下降）0.00%。</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（二）年度支出总体情况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广州海珠（大埔）产业转移工业园管委会2015年度总支出82.39万元，其中本年支出</w:t>
      </w:r>
      <w:r>
        <w:rPr>
          <w:rFonts w:hint="eastAsia" w:ascii="仿宋_GB2312" w:hAnsi="仿宋_GB2312" w:eastAsia="仿宋_GB2312" w:cs="仿宋_GB2312"/>
          <w:sz w:val="32"/>
          <w:szCs w:val="32"/>
          <w:lang w:val="en-US" w:eastAsia="zh-CN"/>
        </w:rPr>
        <w:t>82.39万元。具体情况如下：</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一般公共服务（类）支出80.91万元，</w:t>
      </w:r>
      <w:r>
        <w:rPr>
          <w:rFonts w:hint="eastAsia" w:ascii="仿宋_GB2312" w:hAnsi="仿宋_GB2312" w:eastAsia="仿宋_GB2312" w:cs="仿宋_GB2312"/>
          <w:sz w:val="32"/>
          <w:szCs w:val="32"/>
        </w:rPr>
        <w:t>主要用于财政拨款支出中</w:t>
      </w:r>
      <w:r>
        <w:rPr>
          <w:rFonts w:hint="eastAsia" w:ascii="仿宋_GB2312" w:hAnsi="仿宋_GB2312" w:eastAsia="仿宋_GB2312" w:cs="仿宋_GB2312"/>
          <w:sz w:val="32"/>
          <w:szCs w:val="32"/>
          <w:lang w:eastAsia="zh-CN"/>
        </w:rPr>
        <w:t>。医疗卫生与计划生育支出1.48万元，占本年总支出的1.8%。在财政拨款基本支出中，工资福利支出41.28万元，对个人和家庭的补助1.48万元，商品和服务支出12.13万元。</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二、2015年度财政拨款收入支出总表说明</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（一）2015年度财政拨款收入说明</w:t>
      </w:r>
    </w:p>
    <w:p>
      <w:pPr>
        <w:spacing w:line="64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广州海珠（大埔）产业转移工业园管委会</w:t>
      </w:r>
      <w:r>
        <w:rPr>
          <w:rFonts w:hint="eastAsia" w:ascii="仿宋_GB2312" w:hAnsi="仿宋_GB2312" w:eastAsia="仿宋_GB2312" w:cs="仿宋_GB2312"/>
          <w:sz w:val="32"/>
          <w:szCs w:val="32"/>
        </w:rPr>
        <w:t>2015年度财政拨款收入合计</w:t>
      </w:r>
      <w:r>
        <w:rPr>
          <w:rFonts w:hint="eastAsia" w:ascii="仿宋_GB2312" w:hAnsi="仿宋_GB2312" w:eastAsia="仿宋_GB2312" w:cs="仿宋_GB2312"/>
          <w:sz w:val="32"/>
          <w:szCs w:val="32"/>
          <w:lang w:val="en-US" w:eastAsia="zh-CN"/>
        </w:rPr>
        <w:t>54.89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其他收入</w:t>
      </w:r>
      <w:r>
        <w:rPr>
          <w:rFonts w:hint="eastAsia" w:ascii="仿宋_GB2312" w:hAnsi="仿宋_GB2312" w:eastAsia="仿宋_GB2312" w:cs="仿宋_GB2312"/>
          <w:sz w:val="32"/>
          <w:szCs w:val="32"/>
          <w:lang w:val="en-US" w:eastAsia="zh-CN"/>
        </w:rPr>
        <w:t>27.5万元。</w:t>
      </w:r>
      <w:r>
        <w:rPr>
          <w:rFonts w:hint="eastAsia" w:ascii="仿宋_GB2312" w:hAnsi="仿宋_GB2312" w:eastAsia="仿宋_GB2312" w:cs="仿宋_GB2312"/>
          <w:sz w:val="32"/>
          <w:szCs w:val="32"/>
        </w:rPr>
        <w:t>其中：一般公共预算财政拨款收入</w:t>
      </w:r>
      <w:r>
        <w:rPr>
          <w:rFonts w:hint="eastAsia" w:ascii="仿宋_GB2312" w:hAnsi="仿宋_GB2312" w:eastAsia="仿宋_GB2312" w:cs="仿宋_GB2312"/>
          <w:sz w:val="32"/>
          <w:szCs w:val="32"/>
          <w:lang w:val="en-US" w:eastAsia="zh-CN"/>
        </w:rPr>
        <w:t>54.89</w:t>
      </w:r>
      <w:r>
        <w:rPr>
          <w:rFonts w:hint="eastAsia" w:ascii="仿宋_GB2312" w:hAnsi="仿宋_GB2312" w:eastAsia="仿宋_GB2312" w:cs="仿宋_GB2312"/>
          <w:sz w:val="32"/>
          <w:szCs w:val="32"/>
        </w:rPr>
        <w:t>万元，比年初预算数增加（减少）0.00万元，增长（下降）0.00%；主要原因是认真贯彻落实中央“八项规定”精神和厉行节约的要求，从严控制经费开支，全年实际支出比预算有所节约</w:t>
      </w:r>
      <w:r>
        <w:rPr>
          <w:rFonts w:hint="eastAsia" w:ascii="仿宋_GB2312" w:hAnsi="仿宋_GB2312" w:eastAsia="仿宋_GB2312" w:cs="仿宋_GB2312"/>
          <w:sz w:val="32"/>
          <w:szCs w:val="32"/>
          <w:lang w:eastAsia="zh-CN"/>
        </w:rPr>
        <w:t>。</w:t>
      </w:r>
    </w:p>
    <w:p>
      <w:pPr>
        <w:spacing w:line="640" w:lineRule="exact"/>
        <w:ind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（二）2015年度财政拨款支出说明</w:t>
      </w:r>
    </w:p>
    <w:p>
      <w:pPr>
        <w:spacing w:line="64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广州海珠（大埔）产业转移工业园管委会</w:t>
      </w:r>
      <w:r>
        <w:rPr>
          <w:rFonts w:hint="eastAsia" w:ascii="仿宋_GB2312" w:hAnsi="仿宋_GB2312" w:eastAsia="仿宋_GB2312" w:cs="仿宋_GB2312"/>
          <w:sz w:val="32"/>
          <w:szCs w:val="32"/>
        </w:rPr>
        <w:t>2015年度财政拨款支出合计</w:t>
      </w:r>
      <w:r>
        <w:rPr>
          <w:rFonts w:hint="eastAsia" w:ascii="仿宋_GB2312" w:hAnsi="仿宋_GB2312" w:eastAsia="仿宋_GB2312" w:cs="仿宋_GB2312"/>
          <w:sz w:val="32"/>
          <w:szCs w:val="32"/>
          <w:lang w:val="en-US" w:eastAsia="zh-CN"/>
        </w:rPr>
        <w:t>82.39</w:t>
      </w:r>
      <w:r>
        <w:rPr>
          <w:rFonts w:hint="eastAsia" w:ascii="仿宋_GB2312" w:hAnsi="仿宋_GB2312" w:eastAsia="仿宋_GB2312" w:cs="仿宋_GB2312"/>
          <w:sz w:val="32"/>
          <w:szCs w:val="32"/>
        </w:rPr>
        <w:t>万元。其中：一般公共预算财政拨款支出</w:t>
      </w:r>
      <w:r>
        <w:rPr>
          <w:rFonts w:hint="eastAsia" w:ascii="仿宋_GB2312" w:hAnsi="仿宋_GB2312" w:eastAsia="仿宋_GB2312" w:cs="仿宋_GB2312"/>
          <w:sz w:val="32"/>
          <w:szCs w:val="32"/>
          <w:lang w:val="en-US" w:eastAsia="zh-CN"/>
        </w:rPr>
        <w:t>82.39</w:t>
      </w:r>
      <w:r>
        <w:rPr>
          <w:rFonts w:hint="eastAsia" w:ascii="仿宋_GB2312" w:hAnsi="仿宋_GB2312" w:eastAsia="仿宋_GB2312" w:cs="仿宋_GB2312"/>
          <w:sz w:val="32"/>
          <w:szCs w:val="32"/>
        </w:rPr>
        <w:t>万元，比年初预算数增加（减少）0.00万元，增长（下降）0.00%；主要原因是认真贯彻落实中央“八项规定”精神和厉行节约的要求，从严控制“三公”经费开支，全年实际支出比预算有所节约</w:t>
      </w:r>
      <w:r>
        <w:rPr>
          <w:rFonts w:hint="eastAsia" w:ascii="仿宋_GB2312" w:hAnsi="仿宋_GB2312" w:eastAsia="仿宋_GB2312" w:cs="仿宋_GB2312"/>
          <w:sz w:val="32"/>
          <w:szCs w:val="32"/>
          <w:lang w:eastAsia="zh-CN"/>
        </w:rPr>
        <w:t>。</w:t>
      </w:r>
    </w:p>
    <w:p>
      <w:pPr>
        <w:spacing w:line="288" w:lineRule="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b/>
          <w:sz w:val="32"/>
          <w:szCs w:val="32"/>
          <w:lang w:val="en-US" w:eastAsia="zh-CN"/>
        </w:rPr>
        <w:t>2015</w:t>
      </w:r>
      <w:r>
        <w:rPr>
          <w:rFonts w:hint="eastAsia" w:ascii="仿宋_GB2312" w:hAnsi="仿宋_GB2312" w:eastAsia="仿宋_GB2312" w:cs="仿宋_GB2312"/>
          <w:b/>
          <w:sz w:val="32"/>
          <w:szCs w:val="32"/>
        </w:rPr>
        <w:t>年度财政拨款“三公”经费支出决算情况说明</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广州海珠（大埔）产业转移工业园管委会</w:t>
      </w:r>
      <w:r>
        <w:rPr>
          <w:rFonts w:hint="eastAsia" w:ascii="仿宋_GB2312" w:hAnsi="仿宋_GB2312" w:eastAsia="仿宋_GB2312" w:cs="仿宋_GB2312"/>
          <w:sz w:val="32"/>
          <w:szCs w:val="32"/>
        </w:rPr>
        <w:t>2015年度“三公”经费财政拨款支出决算为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.00万元的 </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%。其中：公务接待费支出决算为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.00万元，完成预算2万元的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.00%。2015年度“三公”经费支出决算</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预算数的主要原因是认真贯彻落实中央“八项规定”精神和厉行节约的要求，从严控制“三公”经费开支，全年实际支出比预算有所节约；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与上年相比，2015年度“三公”经费财政拨款支出决算数比上年减少（增加）0.00万元，下降（增长）0.00%。其中：因公出国（境）费支出决算减少（增加）0.00万元，下降（增长） 0.00%；公务用车购置及运行维护费支出决算减少（增加） 0.00万元，下降（增长）0.00%；公务接待费支出决算减少（增加）0.00万元，下降（增长）0.00%。因公出国（境）费支出减少（增加）的主要原因是无因公出国（境）支出；公务接待费支出减少（增加）的主要原因是认真贯彻落实中央“八项规定”精神和厉行节约的要求，从严控制“三公”经费开支，全年实际支出比预算有所节约；</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2015年“三公”经费财政拨款支出决算中，因公出国（境）费 0.00万元，占0.00%；公务用车购置及运行维护费支出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%；公务接待费支出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1.因公出国（境）费支出0.00万元。</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2.公务用车购置及运行维护费支出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万元，其中：公务用车购置支出为0.00万元；公务用车运行及维护支出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3.公务接待费支出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.00万元，主要用于上级单位检查和相关单位交流工作等方面的接待。2015年，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机关共接待国外来访团组0个，来访外宾0人次；发生国内接待</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次，接待人数共</w:t>
      </w:r>
      <w:r>
        <w:rPr>
          <w:rFonts w:hint="eastAsia" w:ascii="仿宋_GB2312" w:hAnsi="仿宋_GB2312" w:eastAsia="仿宋_GB2312" w:cs="仿宋_GB2312"/>
          <w:sz w:val="32"/>
          <w:szCs w:val="32"/>
          <w:lang w:val="en-US" w:eastAsia="zh-CN"/>
        </w:rPr>
        <w:t>432</w:t>
      </w:r>
      <w:r>
        <w:rPr>
          <w:rFonts w:hint="eastAsia" w:ascii="仿宋_GB2312" w:hAnsi="仿宋_GB2312" w:eastAsia="仿宋_GB2312" w:cs="仿宋_GB2312"/>
          <w:sz w:val="32"/>
          <w:szCs w:val="32"/>
        </w:rPr>
        <w:t>人。主要包括上级单位检查和相关单位交流工作等方面的接待。</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四、其他重要事项的情况说明</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（一）机关运行经费支出情况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2015年本部门机关运行经费支出</w:t>
      </w:r>
      <w:r>
        <w:rPr>
          <w:rFonts w:hint="eastAsia" w:ascii="仿宋_GB2312" w:hAnsi="仿宋_GB2312" w:eastAsia="仿宋_GB2312" w:cs="仿宋_GB2312"/>
          <w:sz w:val="32"/>
          <w:szCs w:val="32"/>
          <w:lang w:val="en-US" w:eastAsia="zh-CN"/>
        </w:rPr>
        <w:t>82.39</w:t>
      </w:r>
      <w:r>
        <w:rPr>
          <w:rFonts w:hint="eastAsia" w:ascii="仿宋_GB2312" w:hAnsi="仿宋_GB2312" w:eastAsia="仿宋_GB2312" w:cs="仿宋_GB2312"/>
          <w:sz w:val="32"/>
          <w:szCs w:val="32"/>
        </w:rPr>
        <w:t>万元（与部门决算中行政单位和参照公务员法管理的事业单位一般公共预算财政拨款基本支出中公用经费之和保持一致），比上年增加（减少）0.00万元，增长（降低）0.00%。主要原因是：认真贯彻落实中央“八项规定”精神和厉行节约的要求，从严控制“三公”经费开支，全年实际支出比预算有所节约；</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（二）政府采购支出情况说明</w:t>
      </w:r>
    </w:p>
    <w:p>
      <w:pPr>
        <w:spacing w:line="288" w:lineRule="auto"/>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2015年本部门政府采购支出总额8.33万元，其中：政府采购货物支出</w:t>
      </w:r>
      <w:r>
        <w:rPr>
          <w:rFonts w:hint="eastAsia" w:ascii="仿宋_GB2312" w:hAnsi="仿宋_GB2312" w:eastAsia="仿宋_GB2312" w:cs="仿宋_GB2312"/>
          <w:sz w:val="32"/>
          <w:szCs w:val="32"/>
          <w:lang w:val="en-US" w:eastAsia="zh-CN"/>
        </w:rPr>
        <w:t>8.09</w:t>
      </w:r>
      <w:r>
        <w:rPr>
          <w:rFonts w:hint="eastAsia" w:ascii="仿宋_GB2312" w:hAnsi="仿宋_GB2312" w:eastAsia="仿宋_GB2312" w:cs="仿宋_GB2312"/>
          <w:sz w:val="32"/>
          <w:szCs w:val="32"/>
        </w:rPr>
        <w:t>万元、政府采购工程支出0.00万元、政府采购服务支出0.00万元。</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（三）国有资产占用情况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截至2015年12月31日，本部门共有车辆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辆，其中，一般公务用车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辆（用于机要通信、应急工作）；</w:t>
      </w:r>
      <w:r>
        <w:rPr>
          <w:rFonts w:hint="eastAsia" w:ascii="仿宋_GB2312" w:hAnsi="仿宋_GB2312" w:eastAsia="仿宋_GB2312" w:cs="仿宋_GB2312"/>
          <w:kern w:val="0"/>
          <w:sz w:val="32"/>
          <w:szCs w:val="32"/>
        </w:rPr>
        <w:t>单位价值50万元以上通用设备0台（套），单价100万元以上专用设备0台（套）。</w:t>
      </w:r>
    </w:p>
    <w:p>
      <w:pPr>
        <w:spacing w:line="58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（四）预算绩效管理工作开展情况。</w:t>
      </w:r>
    </w:p>
    <w:p>
      <w:pPr>
        <w:snapToGrid w:val="0"/>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本单位未进行预算绩效管理工作的评价</w:t>
      </w:r>
    </w:p>
    <w:p>
      <w:pPr>
        <w:spacing w:line="288"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  名词解释</w:t>
      </w:r>
    </w:p>
    <w:p>
      <w:pPr>
        <w:spacing w:line="288" w:lineRule="auto"/>
        <w:ind w:firstLine="627" w:firstLineChars="196"/>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3"/>
        </w:numPr>
        <w:spacing w:line="288" w:lineRule="auto"/>
        <w:ind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财政拨款收入：</w:t>
      </w:r>
      <w:r>
        <w:rPr>
          <w:rFonts w:hint="eastAsia" w:ascii="仿宋_GB2312" w:hAnsi="仿宋_GB2312" w:eastAsia="仿宋_GB2312" w:cs="仿宋_GB2312"/>
          <w:sz w:val="32"/>
          <w:szCs w:val="32"/>
        </w:rPr>
        <w:t>指财政当年拨付的资金事业收入。</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二、事业收入：</w:t>
      </w:r>
      <w:r>
        <w:rPr>
          <w:rFonts w:hint="eastAsia" w:ascii="仿宋_GB2312" w:hAnsi="仿宋_GB2312" w:eastAsia="仿宋_GB2312" w:cs="仿宋_GB2312"/>
          <w:sz w:val="32"/>
          <w:szCs w:val="32"/>
        </w:rPr>
        <w:t>指事业单位开展专业业务活动及辅动所取得的收入。</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四、其他收入：</w:t>
      </w:r>
      <w:r>
        <w:rPr>
          <w:rFonts w:hint="eastAsia" w:ascii="仿宋_GB2312" w:hAnsi="仿宋_GB2312" w:eastAsia="仿宋_GB2312" w:cs="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五、用事业基金弥补收支差额：</w:t>
      </w:r>
      <w:r>
        <w:rPr>
          <w:rFonts w:hint="eastAsia" w:ascii="仿宋_GB2312" w:hAnsi="仿宋_GB2312" w:eastAsia="仿宋_GB2312" w:cs="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六、年初结转和结余：</w:t>
      </w:r>
      <w:r>
        <w:rPr>
          <w:rFonts w:hint="eastAsia" w:ascii="仿宋_GB2312" w:hAnsi="仿宋_GB2312" w:eastAsia="仿宋_GB2312" w:cs="仿宋_GB2312"/>
          <w:sz w:val="32"/>
          <w:szCs w:val="32"/>
        </w:rPr>
        <w:t>指以前年度尚未完成、结转到本年按有关规定继续使用的资金。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七、结余分配：</w:t>
      </w:r>
      <w:r>
        <w:rPr>
          <w:rFonts w:hint="eastAsia" w:ascii="仿宋_GB2312" w:hAnsi="仿宋_GB2312" w:eastAsia="仿宋_GB2312" w:cs="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八、年末结转和结余：</w:t>
      </w:r>
      <w:r>
        <w:rPr>
          <w:rFonts w:hint="eastAsia" w:ascii="仿宋_GB2312" w:hAnsi="仿宋_GB2312" w:eastAsia="仿宋_GB2312" w:cs="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九、基本支出：</w:t>
      </w:r>
      <w:r>
        <w:rPr>
          <w:rFonts w:hint="eastAsia" w:ascii="仿宋_GB2312" w:hAnsi="仿宋_GB2312" w:eastAsia="仿宋_GB2312" w:cs="仿宋_GB2312"/>
          <w:sz w:val="32"/>
          <w:szCs w:val="32"/>
        </w:rPr>
        <w:t>指为保障机构正常运转、完成日常工作任务面发生的人员支出和公用支出。</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十、项目支出：</w:t>
      </w:r>
      <w:r>
        <w:rPr>
          <w:rFonts w:hint="eastAsia" w:ascii="仿宋_GB2312" w:hAnsi="仿宋_GB2312" w:eastAsia="仿宋_GB2312" w:cs="仿宋_GB2312"/>
          <w:sz w:val="32"/>
          <w:szCs w:val="32"/>
        </w:rPr>
        <w:t>指在基本支出这外为完成特定行政任务和事业发展目标所发生的支出。</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十一、经营支出：</w:t>
      </w:r>
      <w:r>
        <w:rPr>
          <w:rFonts w:hint="eastAsia" w:ascii="仿宋_GB2312" w:hAnsi="仿宋_GB2312" w:eastAsia="仿宋_GB2312" w:cs="仿宋_GB2312"/>
          <w:sz w:val="32"/>
          <w:szCs w:val="32"/>
        </w:rPr>
        <w:t>指事业单位在专业业务活动及其辅助活动之外开展非独立核算经营活动所发生的支出。</w:t>
      </w:r>
    </w:p>
    <w:p>
      <w:pPr>
        <w:spacing w:line="288" w:lineRule="auto"/>
        <w:ind w:left="1" w:firstLine="630" w:firstLineChars="196"/>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十二、“三公”经费：</w:t>
      </w:r>
      <w:r>
        <w:rPr>
          <w:rFonts w:hint="eastAsia" w:ascii="仿宋_GB2312" w:hAnsi="仿宋_GB2312" w:eastAsia="仿宋_GB2312" w:cs="仿宋_GB2312"/>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十三、机关运行经费：</w:t>
      </w:r>
      <w:r>
        <w:rPr>
          <w:rFonts w:hint="eastAsia" w:ascii="仿宋_GB2312" w:hAnsi="仿宋_GB2312" w:eastAsia="仿宋_GB2312" w:cs="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rPr>
          <w:rFonts w:hint="eastAsia" w:ascii="仿宋_GB2312" w:hAnsi="仿宋_GB2312" w:eastAsia="仿宋_GB2312" w:cs="仿宋_GB2312"/>
          <w:sz w:val="32"/>
          <w:szCs w:val="32"/>
        </w:rPr>
      </w:pPr>
    </w:p>
    <w:p>
      <w:pPr>
        <w:snapToGrid w:val="0"/>
        <w:spacing w:line="360" w:lineRule="auto"/>
        <w:ind w:firstLine="643"/>
        <w:rPr>
          <w:rFonts w:hint="eastAsia" w:ascii="仿宋_GB2312" w:hAnsi="仿宋_GB2312" w:eastAsia="仿宋_GB2312" w:cs="仿宋_GB2312"/>
          <w:sz w:val="32"/>
          <w:szCs w:val="32"/>
        </w:rPr>
      </w:pPr>
    </w:p>
    <w:p>
      <w:pPr>
        <w:spacing w:line="640" w:lineRule="exact"/>
        <w:ind w:firstLine="645"/>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rPr>
        <w:rFonts w:cs="Times New Roman"/>
      </w:rPr>
    </w:lvl>
  </w:abstractNum>
  <w:abstractNum w:abstractNumId="1">
    <w:nsid w:val="60895E45"/>
    <w:multiLevelType w:val="singleLevel"/>
    <w:tmpl w:val="60895E45"/>
    <w:lvl w:ilvl="0" w:tentative="0">
      <w:start w:val="1"/>
      <w:numFmt w:val="decimal"/>
      <w:suff w:val="nothing"/>
      <w:lvlText w:val="%1、"/>
      <w:lvlJc w:val="left"/>
    </w:lvl>
  </w:abstractNum>
  <w:abstractNum w:abstractNumId="2">
    <w:nsid w:val="770B11A2"/>
    <w:multiLevelType w:val="singleLevel"/>
    <w:tmpl w:val="770B11A2"/>
    <w:lvl w:ilvl="0" w:tentative="0">
      <w:start w:val="3"/>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1B36"/>
    <w:rsid w:val="000077EB"/>
    <w:rsid w:val="0003679A"/>
    <w:rsid w:val="00074C45"/>
    <w:rsid w:val="000D223F"/>
    <w:rsid w:val="00103C1E"/>
    <w:rsid w:val="001040CF"/>
    <w:rsid w:val="0010544F"/>
    <w:rsid w:val="00143E63"/>
    <w:rsid w:val="0014523B"/>
    <w:rsid w:val="0017560D"/>
    <w:rsid w:val="0018598B"/>
    <w:rsid w:val="00193D4F"/>
    <w:rsid w:val="001B7605"/>
    <w:rsid w:val="002113F6"/>
    <w:rsid w:val="00223CC3"/>
    <w:rsid w:val="003406AC"/>
    <w:rsid w:val="0035506A"/>
    <w:rsid w:val="00375080"/>
    <w:rsid w:val="003854A8"/>
    <w:rsid w:val="003B4BEA"/>
    <w:rsid w:val="003D5557"/>
    <w:rsid w:val="003E2E54"/>
    <w:rsid w:val="004370A9"/>
    <w:rsid w:val="0054391E"/>
    <w:rsid w:val="00580AA9"/>
    <w:rsid w:val="00597F98"/>
    <w:rsid w:val="005A3E62"/>
    <w:rsid w:val="005E4D45"/>
    <w:rsid w:val="00631DF8"/>
    <w:rsid w:val="0068759D"/>
    <w:rsid w:val="006C2FAA"/>
    <w:rsid w:val="006E05E3"/>
    <w:rsid w:val="00723CD1"/>
    <w:rsid w:val="00743342"/>
    <w:rsid w:val="00763F8E"/>
    <w:rsid w:val="007901F4"/>
    <w:rsid w:val="007A4113"/>
    <w:rsid w:val="0080262F"/>
    <w:rsid w:val="008325C5"/>
    <w:rsid w:val="00891B15"/>
    <w:rsid w:val="008D7522"/>
    <w:rsid w:val="00916A04"/>
    <w:rsid w:val="00993212"/>
    <w:rsid w:val="009B1E66"/>
    <w:rsid w:val="009C3DA7"/>
    <w:rsid w:val="009F54F6"/>
    <w:rsid w:val="00A643DE"/>
    <w:rsid w:val="00B40018"/>
    <w:rsid w:val="00BC6F1C"/>
    <w:rsid w:val="00BD6B88"/>
    <w:rsid w:val="00C43C5F"/>
    <w:rsid w:val="00CA11EB"/>
    <w:rsid w:val="00D01B36"/>
    <w:rsid w:val="00D619EC"/>
    <w:rsid w:val="00D96F03"/>
    <w:rsid w:val="00E10990"/>
    <w:rsid w:val="00E513C9"/>
    <w:rsid w:val="00F30156"/>
    <w:rsid w:val="00F32C9F"/>
    <w:rsid w:val="00F35297"/>
    <w:rsid w:val="00F76F8C"/>
    <w:rsid w:val="00F80B12"/>
    <w:rsid w:val="00FC781C"/>
    <w:rsid w:val="00FD1D7C"/>
    <w:rsid w:val="00FE1C34"/>
    <w:rsid w:val="00FE74ED"/>
    <w:rsid w:val="00FF7B73"/>
    <w:rsid w:val="021B0BC1"/>
    <w:rsid w:val="048560C4"/>
    <w:rsid w:val="0ECE45A1"/>
    <w:rsid w:val="0F893EBA"/>
    <w:rsid w:val="10D43B8E"/>
    <w:rsid w:val="110F7E3A"/>
    <w:rsid w:val="148247B7"/>
    <w:rsid w:val="14A95C3E"/>
    <w:rsid w:val="15035061"/>
    <w:rsid w:val="1A825D2A"/>
    <w:rsid w:val="200443A3"/>
    <w:rsid w:val="25A13A7D"/>
    <w:rsid w:val="2CDF5DFB"/>
    <w:rsid w:val="34DA3ABC"/>
    <w:rsid w:val="3EDB2FA9"/>
    <w:rsid w:val="42AA6DC2"/>
    <w:rsid w:val="432958E7"/>
    <w:rsid w:val="465926E8"/>
    <w:rsid w:val="49041505"/>
    <w:rsid w:val="4F357340"/>
    <w:rsid w:val="50A1039E"/>
    <w:rsid w:val="50B952B6"/>
    <w:rsid w:val="522A187E"/>
    <w:rsid w:val="52CF0C4F"/>
    <w:rsid w:val="54FA0370"/>
    <w:rsid w:val="55E54E18"/>
    <w:rsid w:val="57665079"/>
    <w:rsid w:val="5F245718"/>
    <w:rsid w:val="60664A5B"/>
    <w:rsid w:val="6082670F"/>
    <w:rsid w:val="6284405C"/>
    <w:rsid w:val="628F3790"/>
    <w:rsid w:val="64665FBB"/>
    <w:rsid w:val="64BD63BC"/>
    <w:rsid w:val="6B186B94"/>
    <w:rsid w:val="6CCD7FC3"/>
    <w:rsid w:val="6D707094"/>
    <w:rsid w:val="6DDC13F2"/>
    <w:rsid w:val="6DDC68A2"/>
    <w:rsid w:val="71720527"/>
    <w:rsid w:val="7DAC7703"/>
    <w:rsid w:val="7DB90279"/>
    <w:rsid w:val="7DBB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semiHidden/>
    <w:unhideWhenUsed/>
    <w:qFormat/>
    <w:uiPriority w:val="99"/>
    <w:rPr>
      <w:rFonts w:cs="Times New Roman"/>
    </w:rPr>
  </w:style>
  <w:style w:type="character" w:styleId="6">
    <w:name w:val="Hyperlink"/>
    <w:basedOn w:val="4"/>
    <w:semiHidden/>
    <w:unhideWhenUsed/>
    <w:qFormat/>
    <w:uiPriority w:val="99"/>
    <w:rPr>
      <w:color w:val="0000FF"/>
      <w:u w:val="single"/>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BB6A0B-2AD9-43B0-B90C-48A4E2266B28}">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15</Pages>
  <Words>944</Words>
  <Characters>5383</Characters>
  <Lines>44</Lines>
  <Paragraphs>12</Paragraphs>
  <ScaleCrop>false</ScaleCrop>
  <LinksUpToDate>false</LinksUpToDate>
  <CharactersWithSpaces>6315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2016-10-24T02:59:00Z</dcterms:created>
  <dc:creator>Chinese User</dc:creator>
  <cp:lastModifiedBy>Administrator</cp:lastModifiedBy>
  <cp:lastPrinted>2016-10-26T12:32:00Z</cp:lastPrinted>
  <dcterms:modified xsi:type="dcterms:W3CDTF">2018-04-12T02:53:05Z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