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
    <w:p/>
    <w:p/>
    <w:p/>
    <w:p/>
    <w:p/>
    <w:p/>
    <w:p/>
    <w:p/>
    <w:p>
      <w:pPr>
        <w:jc w:val="center"/>
      </w:pPr>
    </w:p>
    <w:p>
      <w:pPr>
        <w:jc w:val="center"/>
      </w:pPr>
    </w:p>
    <w:p>
      <w:pPr>
        <w:jc w:val="center"/>
      </w:pPr>
    </w:p>
    <w:p>
      <w:pPr>
        <w:jc w:val="center"/>
      </w:pPr>
    </w:p>
    <w:p>
      <w:pPr>
        <w:jc w:val="center"/>
        <w:rPr>
          <w:b/>
          <w:sz w:val="36"/>
          <w:szCs w:val="36"/>
        </w:rPr>
      </w:pPr>
    </w:p>
    <w:p>
      <w:pPr>
        <w:jc w:val="center"/>
        <w:rPr>
          <w:b/>
          <w:sz w:val="36"/>
          <w:szCs w:val="36"/>
        </w:rPr>
      </w:pPr>
      <w:r>
        <w:rPr>
          <w:rFonts w:hint="eastAsia"/>
          <w:b/>
          <w:sz w:val="36"/>
          <w:szCs w:val="36"/>
        </w:rPr>
        <w:t xml:space="preserve"> 2016年度广州海珠（大埔）产业转移工业园管委会部门决算</w:t>
      </w:r>
    </w:p>
    <w:p>
      <w:pPr>
        <w:jc w:val="center"/>
        <w:rPr>
          <w:b/>
          <w:sz w:val="30"/>
          <w:szCs w:val="30"/>
        </w:rPr>
      </w:pPr>
      <w:r>
        <w:rPr>
          <w:b/>
          <w:sz w:val="28"/>
          <w:szCs w:val="28"/>
        </w:rPr>
        <w:br w:type="page"/>
      </w:r>
      <w:r>
        <w:rPr>
          <w:rFonts w:hint="eastAsia"/>
          <w:b/>
          <w:sz w:val="30"/>
          <w:szCs w:val="30"/>
        </w:rPr>
        <w:t>目录</w:t>
      </w:r>
    </w:p>
    <w:p>
      <w:pPr>
        <w:jc w:val="center"/>
        <w:rPr>
          <w:b/>
          <w:sz w:val="30"/>
          <w:szCs w:val="30"/>
        </w:rPr>
      </w:pPr>
    </w:p>
    <w:p>
      <w:pPr>
        <w:rPr>
          <w:b/>
          <w:sz w:val="30"/>
          <w:szCs w:val="30"/>
        </w:rPr>
      </w:pPr>
      <w:r>
        <w:rPr>
          <w:rFonts w:hint="eastAsia"/>
          <w:b/>
          <w:sz w:val="30"/>
          <w:szCs w:val="30"/>
        </w:rPr>
        <w:t>第一部分  2016年广州海珠（大埔）产业转移工业园管委会基本情况</w:t>
      </w:r>
    </w:p>
    <w:p>
      <w:pPr>
        <w:rPr>
          <w:sz w:val="28"/>
          <w:szCs w:val="28"/>
        </w:rPr>
      </w:pPr>
      <w:r>
        <w:rPr>
          <w:rFonts w:hint="eastAsia"/>
          <w:sz w:val="28"/>
          <w:szCs w:val="28"/>
        </w:rPr>
        <w:t>一、部门职责</w:t>
      </w:r>
    </w:p>
    <w:p>
      <w:pPr>
        <w:rPr>
          <w:sz w:val="28"/>
          <w:szCs w:val="28"/>
        </w:rPr>
      </w:pPr>
      <w:r>
        <w:rPr>
          <w:rFonts w:hint="eastAsia"/>
          <w:sz w:val="28"/>
          <w:szCs w:val="28"/>
        </w:rPr>
        <w:t>二、机构设置</w:t>
      </w:r>
    </w:p>
    <w:p/>
    <w:p>
      <w:pPr>
        <w:rPr>
          <w:b/>
          <w:sz w:val="30"/>
          <w:szCs w:val="30"/>
        </w:rPr>
      </w:pPr>
      <w:r>
        <w:rPr>
          <w:rFonts w:hint="eastAsia"/>
          <w:b/>
          <w:sz w:val="30"/>
          <w:szCs w:val="30"/>
        </w:rPr>
        <w:t>第二部分   2016年广州海珠（大埔）产业转移工业园管委会部门决算表</w:t>
      </w:r>
    </w:p>
    <w:p>
      <w:pPr>
        <w:spacing w:line="288" w:lineRule="auto"/>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rPr>
          <w:sz w:val="28"/>
          <w:szCs w:val="28"/>
        </w:rPr>
      </w:pPr>
    </w:p>
    <w:p>
      <w:pPr>
        <w:rPr>
          <w:rFonts w:hint="eastAsia"/>
          <w:b/>
          <w:sz w:val="30"/>
          <w:szCs w:val="30"/>
          <w:lang w:eastAsia="zh-CN"/>
        </w:rPr>
      </w:pPr>
      <w:r>
        <w:rPr>
          <w:rFonts w:hint="eastAsia"/>
          <w:b/>
          <w:sz w:val="30"/>
          <w:szCs w:val="30"/>
        </w:rPr>
        <w:t>第</w:t>
      </w:r>
      <w:r>
        <w:rPr>
          <w:rFonts w:hint="eastAsia"/>
          <w:b/>
          <w:sz w:val="30"/>
          <w:szCs w:val="30"/>
          <w:lang w:eastAsia="zh-CN"/>
        </w:rPr>
        <w:t>三</w:t>
      </w:r>
      <w:r>
        <w:rPr>
          <w:rFonts w:hint="eastAsia"/>
          <w:b/>
          <w:sz w:val="30"/>
          <w:szCs w:val="30"/>
        </w:rPr>
        <w:t>部分   2016年广州海珠（大埔）产业转移工业园管委会部门决算</w:t>
      </w:r>
      <w:r>
        <w:rPr>
          <w:rFonts w:hint="eastAsia"/>
          <w:b/>
          <w:sz w:val="30"/>
          <w:szCs w:val="30"/>
          <w:lang w:eastAsia="zh-CN"/>
        </w:rPr>
        <w:t>情况说明</w:t>
      </w:r>
    </w:p>
    <w:p>
      <w:pPr>
        <w:rPr>
          <w:rFonts w:hint="eastAsia"/>
          <w:b/>
          <w:sz w:val="30"/>
          <w:szCs w:val="30"/>
          <w:lang w:eastAsia="zh-CN"/>
        </w:rPr>
      </w:pPr>
    </w:p>
    <w:p>
      <w:pPr>
        <w:numPr>
          <w:ilvl w:val="0"/>
          <w:numId w:val="0"/>
        </w:numPr>
        <w:rPr>
          <w:rFonts w:hint="eastAsia"/>
          <w:b/>
          <w:sz w:val="30"/>
          <w:szCs w:val="30"/>
          <w:lang w:eastAsia="zh-CN"/>
        </w:rPr>
      </w:pPr>
      <w:r>
        <w:rPr>
          <w:rFonts w:hint="eastAsia"/>
          <w:b/>
          <w:sz w:val="30"/>
          <w:szCs w:val="30"/>
          <w:lang w:eastAsia="zh-CN"/>
        </w:rPr>
        <w:t>第四部分</w:t>
      </w:r>
      <w:r>
        <w:rPr>
          <w:rFonts w:hint="eastAsia"/>
          <w:b/>
          <w:sz w:val="30"/>
          <w:szCs w:val="30"/>
          <w:lang w:val="en-US" w:eastAsia="zh-CN"/>
        </w:rPr>
        <w:t xml:space="preserve">   名词解释</w:t>
      </w:r>
    </w:p>
    <w:p>
      <w:pPr>
        <w:rPr>
          <w:rFonts w:hint="eastAsia"/>
          <w:b/>
          <w:sz w:val="30"/>
          <w:szCs w:val="30"/>
          <w:lang w:eastAsia="zh-CN"/>
        </w:rPr>
      </w:pPr>
    </w:p>
    <w:p>
      <w:pPr>
        <w:rPr>
          <w:sz w:val="28"/>
          <w:szCs w:val="28"/>
        </w:rPr>
      </w:pPr>
    </w:p>
    <w:p>
      <w:pPr>
        <w:rPr>
          <w:b/>
          <w:sz w:val="28"/>
          <w:szCs w:val="28"/>
        </w:rPr>
      </w:pPr>
      <w:r>
        <w:rPr>
          <w:rFonts w:hint="eastAsia"/>
          <w:b/>
          <w:sz w:val="28"/>
          <w:szCs w:val="28"/>
        </w:rPr>
        <w:t>第一部分 2016年广州海珠（大埔）产业转移工业园管委会基本情况</w:t>
      </w:r>
    </w:p>
    <w:p>
      <w:pPr>
        <w:rPr>
          <w:b/>
          <w:sz w:val="28"/>
          <w:szCs w:val="28"/>
        </w:rPr>
      </w:pPr>
    </w:p>
    <w:p>
      <w:pPr>
        <w:rPr>
          <w:b/>
          <w:sz w:val="28"/>
          <w:szCs w:val="28"/>
        </w:rPr>
      </w:pPr>
      <w:r>
        <w:rPr>
          <w:rFonts w:hint="eastAsia"/>
          <w:b/>
          <w:sz w:val="28"/>
          <w:szCs w:val="28"/>
        </w:rPr>
        <w:t>一、部门</w:t>
      </w:r>
      <w:r>
        <w:rPr>
          <w:rFonts w:hint="eastAsia"/>
          <w:b/>
          <w:sz w:val="28"/>
          <w:szCs w:val="28"/>
          <w:lang w:eastAsia="zh-CN"/>
        </w:rPr>
        <w:t>主要</w:t>
      </w:r>
      <w:r>
        <w:rPr>
          <w:rFonts w:hint="eastAsia"/>
          <w:b/>
          <w:sz w:val="28"/>
          <w:szCs w:val="28"/>
        </w:rPr>
        <w:t>职责</w:t>
      </w:r>
    </w:p>
    <w:p>
      <w:pPr>
        <w:ind w:firstLine="560" w:firstLineChars="200"/>
        <w:rPr>
          <w:rFonts w:ascii="仿宋_GB2312" w:eastAsia="仿宋_GB2312"/>
          <w:sz w:val="32"/>
          <w:szCs w:val="32"/>
        </w:rPr>
      </w:pPr>
      <w:r>
        <w:rPr>
          <w:rFonts w:hint="eastAsia"/>
          <w:sz w:val="28"/>
          <w:szCs w:val="28"/>
        </w:rPr>
        <w:t>（一）</w:t>
      </w:r>
      <w:r>
        <w:rPr>
          <w:rFonts w:hint="eastAsia" w:ascii="仿宋_GB2312" w:eastAsia="仿宋_GB2312"/>
          <w:sz w:val="32"/>
          <w:szCs w:val="32"/>
        </w:rPr>
        <w:t>2014年8月13日，根据大埔县机构编制委员会批准（埔机编字［2014］19号），设立广州海珠（大埔）产业转移工业园管委会，定为县人民政府直属正科级、公益一类事业单位。</w:t>
      </w:r>
    </w:p>
    <w:p>
      <w:pPr>
        <w:rPr>
          <w:b/>
          <w:sz w:val="28"/>
          <w:szCs w:val="28"/>
        </w:rPr>
      </w:pPr>
      <w:r>
        <w:rPr>
          <w:rFonts w:hint="eastAsia"/>
          <w:b/>
          <w:sz w:val="28"/>
          <w:szCs w:val="28"/>
        </w:rPr>
        <w:t>二、机构设置</w:t>
      </w:r>
    </w:p>
    <w:p>
      <w:pPr>
        <w:ind w:firstLine="640" w:firstLineChars="200"/>
        <w:rPr>
          <w:rFonts w:ascii="仿宋_GB2312" w:eastAsia="仿宋_GB2312"/>
          <w:sz w:val="32"/>
          <w:szCs w:val="32"/>
        </w:rPr>
      </w:pPr>
      <w:r>
        <w:rPr>
          <w:rFonts w:hint="eastAsia" w:ascii="仿宋_GB2312" w:eastAsia="仿宋_GB2312"/>
          <w:sz w:val="32"/>
          <w:szCs w:val="32"/>
        </w:rPr>
        <w:t>广州海珠（大埔）产业转移工业园管委会的主要职能是：一，指导监督入园企业积极贯彻执行党和国家的方针、政策和法律、法规；二，引导企业贯彻国家和省、市、县产业政策，落实《广东省工业产业结构调整方案》；三，制定实施产业转移工业园的发展规划和工作计划；负责承接项目入园的相关工作；四，负责组织规划和实施建设产业转移工业园的各项基础设施和公用设施；五，负责招商引资工作；六，协助企业申请办理各项优惠政策的落实工作；七，构建为企业开展科研、合作、电子商务等活动的公共服务平台和支撑体系；八，负责产业转移工业园区内环境保护和安全生产工作；九，负责产业转移工业园区内企业有关统计工作；十，负责产业园区人力资源开发和人才培训、职业技术教育、劳动就业管理、社会保障、新技术新工艺引进和应用、科研知识产权保护等各项管理工作；十一，配合、协调有关职能部门在产业转移工业园开展工作；十二，预提县委、县政府和上级行政主管部门交办的其他工作事项。</w:t>
      </w:r>
    </w:p>
    <w:p>
      <w:pPr>
        <w:ind w:firstLine="643" w:firstLineChars="200"/>
        <w:rPr>
          <w:rFonts w:ascii="仿宋_GB2312" w:eastAsia="仿宋_GB2312"/>
          <w:sz w:val="32"/>
          <w:szCs w:val="32"/>
        </w:rPr>
      </w:pPr>
      <w:r>
        <w:rPr>
          <w:rFonts w:hint="eastAsia" w:ascii="仿宋_GB2312" w:eastAsia="仿宋_GB2312"/>
          <w:b/>
          <w:sz w:val="32"/>
          <w:szCs w:val="32"/>
        </w:rPr>
        <w:t>（二）</w:t>
      </w:r>
      <w:r>
        <w:rPr>
          <w:rFonts w:ascii="Times New Roman" w:hAnsi="Times New Roman" w:eastAsia="宋体,微软雅黑" w:cs="Times New Roman"/>
          <w:b/>
          <w:color w:val="000000"/>
          <w:sz w:val="28"/>
          <w:szCs w:val="28"/>
        </w:rPr>
        <w:t>机构人员情况</w:t>
      </w:r>
      <w:r>
        <w:rPr>
          <w:rFonts w:hint="eastAsia" w:ascii="仿宋_GB2312" w:eastAsia="仿宋_GB2312"/>
          <w:b/>
          <w:sz w:val="32"/>
          <w:szCs w:val="32"/>
        </w:rPr>
        <w:t>：</w:t>
      </w:r>
      <w:r>
        <w:rPr>
          <w:rFonts w:hint="eastAsia" w:ascii="仿宋_GB2312" w:eastAsia="仿宋_GB2312"/>
          <w:sz w:val="32"/>
          <w:szCs w:val="32"/>
        </w:rPr>
        <w:t>广州海珠（大埔）产业转移工业园管委会事业编制16名，下设综合计财股、招商服务股、规划基建股、经济运行股、人力资源股等5个内设机构。</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年末共有主任、副主任各一名，事业编制人员16 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本单位没有下属下单位。</w:t>
      </w:r>
    </w:p>
    <w:p>
      <w:pPr>
        <w:ind w:firstLine="640" w:firstLineChars="200"/>
        <w:rPr>
          <w:rFonts w:hint="eastAsia" w:ascii="仿宋_GB2312" w:eastAsia="仿宋_GB2312"/>
          <w:sz w:val="32"/>
          <w:szCs w:val="32"/>
        </w:rPr>
      </w:pPr>
    </w:p>
    <w:p>
      <w:pPr>
        <w:rPr>
          <w:b/>
          <w:sz w:val="28"/>
          <w:szCs w:val="28"/>
        </w:rPr>
      </w:pPr>
    </w:p>
    <w:p>
      <w:pPr>
        <w:rPr>
          <w:b/>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560" w:firstLineChars="200"/>
        <w:rPr>
          <w:sz w:val="28"/>
          <w:szCs w:val="28"/>
        </w:rPr>
      </w:pPr>
    </w:p>
    <w:p>
      <w:pPr>
        <w:ind w:firstLine="560" w:firstLineChars="200"/>
        <w:rPr>
          <w:sz w:val="28"/>
          <w:szCs w:val="28"/>
        </w:rPr>
      </w:pPr>
    </w:p>
    <w:p>
      <w:pPr>
        <w:rPr>
          <w:rFonts w:hint="eastAsia"/>
          <w:b/>
          <w:sz w:val="28"/>
          <w:szCs w:val="28"/>
        </w:rPr>
      </w:pPr>
      <w:r>
        <w:rPr>
          <w:rFonts w:hint="eastAsia"/>
          <w:b/>
          <w:sz w:val="28"/>
          <w:szCs w:val="28"/>
        </w:rPr>
        <w:t>第二部2016年广州海珠（大埔）产业转移工业园管委会部门决算表</w:t>
      </w:r>
    </w:p>
    <w:tbl>
      <w:tblPr>
        <w:tblStyle w:val="6"/>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widowControl/>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2567" w:type="dxa"/>
            <w:shd w:val="clear" w:color="auto" w:fill="FFFFFF"/>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部门：</w:t>
            </w:r>
            <w:r>
              <w:rPr>
                <w:rFonts w:hint="eastAsia" w:ascii="宋体" w:hAnsi="宋体" w:cs="宋体"/>
                <w:color w:val="000000"/>
                <w:kern w:val="0"/>
                <w:sz w:val="21"/>
                <w:szCs w:val="21"/>
                <w:lang w:eastAsia="zh-CN"/>
              </w:rPr>
              <w:t>广州海珠（大埔）产业转移工业园管委会</w:t>
            </w:r>
          </w:p>
        </w:tc>
        <w:tc>
          <w:tcPr>
            <w:tcW w:w="769" w:type="dxa"/>
            <w:shd w:val="clear" w:color="auto" w:fill="FFFFFF"/>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3201.57</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188.99</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22.8</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4"/>
              </w:rPr>
              <w:t>……</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24"/>
                <w:lang w:eastAsia="zh-CN"/>
              </w:rPr>
            </w:pPr>
            <w:r>
              <w:rPr>
                <w:rFonts w:hint="eastAsia" w:ascii="宋体" w:hAnsi="宋体" w:cs="宋体"/>
                <w:kern w:val="0"/>
                <w:sz w:val="24"/>
                <w:lang w:eastAsia="zh-CN"/>
              </w:rPr>
              <w:t>七、医疗卫生与计划生育支出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2.59</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4"/>
                <w:lang w:eastAsia="zh-CN"/>
              </w:rPr>
              <w:t>八、城乡社区支出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lang w:eastAsia="zh-CN"/>
              </w:rPr>
              <w:t>九、资源勘探信息等支出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22</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3000.00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lang w:eastAsia="zh-CN"/>
              </w:rPr>
              <w:t>十、其他支出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23</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22.80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3224.37</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24</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b/>
                <w:bCs/>
                <w:kern w:val="0"/>
                <w:sz w:val="22"/>
                <w:szCs w:val="22"/>
                <w:lang w:val="en-US" w:eastAsia="zh-CN"/>
              </w:rPr>
            </w:pPr>
            <w:r>
              <w:rPr>
                <w:rFonts w:hint="eastAsia" w:ascii="宋体" w:hAnsi="宋体" w:cs="宋体"/>
                <w:b w:val="0"/>
                <w:bCs w:val="0"/>
                <w:kern w:val="0"/>
                <w:sz w:val="22"/>
                <w:szCs w:val="22"/>
                <w:lang w:val="en-US" w:eastAsia="zh-CN"/>
              </w:rPr>
              <w:t>3224.37</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5</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6</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7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7</w:t>
            </w:r>
          </w:p>
        </w:tc>
        <w:tc>
          <w:tcPr>
            <w:tcW w:w="1216" w:type="dxa"/>
            <w:tcBorders>
              <w:top w:val="nil"/>
              <w:left w:val="nil"/>
              <w:bottom w:val="nil"/>
              <w:right w:val="single" w:color="auto" w:sz="8"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3224.37</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8</w:t>
            </w:r>
          </w:p>
        </w:tc>
        <w:tc>
          <w:tcPr>
            <w:tcW w:w="1216"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cs="宋体" w:eastAsiaTheme="minorEastAsia"/>
                <w:b/>
                <w:bCs/>
                <w:kern w:val="0"/>
                <w:sz w:val="22"/>
                <w:szCs w:val="22"/>
                <w:lang w:val="en-US" w:eastAsia="zh-CN"/>
              </w:rPr>
            </w:pPr>
            <w:r>
              <w:rPr>
                <w:rFonts w:hint="eastAsia" w:ascii="宋体" w:hAnsi="宋体" w:cs="宋体"/>
                <w:b w:val="0"/>
                <w:bCs w:val="0"/>
                <w:kern w:val="0"/>
                <w:sz w:val="22"/>
                <w:szCs w:val="22"/>
                <w:lang w:val="en-US" w:eastAsia="zh-CN"/>
              </w:rPr>
              <w:t>3224.37</w:t>
            </w:r>
          </w:p>
        </w:tc>
      </w:tr>
    </w:tbl>
    <w:p>
      <w:pPr>
        <w:spacing w:line="288" w:lineRule="auto"/>
        <w:ind w:firstLine="560"/>
        <w:rPr>
          <w:rFonts w:ascii="仿宋_GB2312" w:eastAsia="仿宋_GB2312"/>
          <w:sz w:val="28"/>
          <w:szCs w:val="28"/>
        </w:rPr>
      </w:pPr>
      <w:r>
        <w:rPr>
          <w:rFonts w:hint="eastAsia" w:ascii="仿宋_GB2312" w:eastAsia="仿宋_GB2312"/>
          <w:sz w:val="28"/>
          <w:szCs w:val="28"/>
        </w:rPr>
        <w:t>注：本表反映部门本年度的总收支和年末结转情况。有关填表说明：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（1）本表中数据填列当年决算数，以“万元”为金额单位，保留两位小数。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本表支出项目填列到类级支出科目，没有发生数的类级支出科目不用填列。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（3）收入总计数应等于支出总计数。</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（4）此表没有发生数据的，在合计和总计栏填“0”，并在该表下方附简要说明。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（5）该表数据来源于部门决算报表中的《收入支出决算总表》(财决01表)。</w:t>
      </w:r>
    </w:p>
    <w:p>
      <w:pPr>
        <w:spacing w:line="288" w:lineRule="auto"/>
        <w:ind w:firstLine="560"/>
        <w:rPr>
          <w:rFonts w:ascii="仿宋_GB2312" w:eastAsia="仿宋_GB2312"/>
          <w:sz w:val="28"/>
          <w:szCs w:val="28"/>
        </w:rPr>
      </w:pPr>
    </w:p>
    <w:tbl>
      <w:tblPr>
        <w:tblStyle w:val="6"/>
        <w:tblW w:w="9210" w:type="dxa"/>
        <w:tblInd w:w="93" w:type="dxa"/>
        <w:tblLayout w:type="fixed"/>
        <w:tblCellMar>
          <w:top w:w="0" w:type="dxa"/>
          <w:left w:w="108" w:type="dxa"/>
          <w:bottom w:w="0" w:type="dxa"/>
          <w:right w:w="108" w:type="dxa"/>
        </w:tblCellMar>
      </w:tblPr>
      <w:tblGrid>
        <w:gridCol w:w="459"/>
        <w:gridCol w:w="597"/>
        <w:gridCol w:w="1511"/>
        <w:gridCol w:w="1040"/>
        <w:gridCol w:w="111"/>
        <w:gridCol w:w="915"/>
        <w:gridCol w:w="105"/>
        <w:gridCol w:w="753"/>
        <w:gridCol w:w="797"/>
        <w:gridCol w:w="796"/>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2"/>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26"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858"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511" w:type="dxa"/>
            <w:shd w:val="clear" w:color="auto" w:fill="FFFFFF"/>
            <w:vAlign w:val="center"/>
          </w:tcPr>
          <w:p>
            <w:pPr>
              <w:widowControl/>
              <w:jc w:val="left"/>
              <w:rPr>
                <w:rFonts w:ascii="宋体" w:hAnsi="宋体" w:cs="宋体"/>
                <w:kern w:val="0"/>
                <w:sz w:val="24"/>
              </w:rPr>
            </w:pPr>
            <w:r>
              <w:rPr>
                <w:rFonts w:hint="eastAsia" w:ascii="宋体" w:hAnsi="宋体" w:cs="宋体"/>
                <w:color w:val="000000"/>
                <w:kern w:val="0"/>
                <w:sz w:val="21"/>
                <w:szCs w:val="21"/>
                <w:lang w:eastAsia="zh-CN"/>
              </w:rPr>
              <w:t>广州海珠（大埔）产业转移工业园管委会</w:t>
            </w: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26"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858" w:type="dxa"/>
            <w:gridSpan w:val="2"/>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04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1026" w:type="dxa"/>
            <w:gridSpan w:val="2"/>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858" w:type="dxa"/>
            <w:gridSpan w:val="2"/>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79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79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511"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26"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58"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5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26"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58"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04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026"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858"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79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rPr>
        <w:tc>
          <w:tcPr>
            <w:tcW w:w="2567"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1"/>
                <w:szCs w:val="21"/>
                <w:lang w:val="en-US" w:eastAsia="zh-CN"/>
              </w:rPr>
            </w:pPr>
            <w:r>
              <w:rPr>
                <w:rFonts w:hint="eastAsia" w:ascii="宋体" w:hAnsi="宋体" w:cs="宋体"/>
                <w:kern w:val="0"/>
                <w:sz w:val="21"/>
                <w:szCs w:val="21"/>
                <w:lang w:val="en-US" w:eastAsia="zh-CN"/>
              </w:rPr>
              <w:t>3224.37</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1"/>
                <w:szCs w:val="21"/>
                <w:lang w:val="en-US" w:eastAsia="zh-CN"/>
              </w:rPr>
              <w:t>3201.57</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22.80</w:t>
            </w:r>
          </w:p>
        </w:tc>
      </w:tr>
      <w:tr>
        <w:tblPrEx>
          <w:tblLayout w:type="fixed"/>
          <w:tblCellMar>
            <w:top w:w="0" w:type="dxa"/>
            <w:left w:w="108" w:type="dxa"/>
            <w:bottom w:w="0" w:type="dxa"/>
            <w:right w:w="108" w:type="dxa"/>
          </w:tblCellMar>
        </w:tblPrEx>
        <w:trPr>
          <w:trHeight w:val="9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一般公共服务支出</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188.99</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188.99</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20101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人大事务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2010101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行政运行</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2010102</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一般行政管理事务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2010199</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其他人大事务支出</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208</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社会保障和就业支出</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858"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20805</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行政事业单位离退休</w:t>
            </w:r>
          </w:p>
        </w:tc>
        <w:tc>
          <w:tcPr>
            <w:tcW w:w="1040" w:type="dxa"/>
            <w:tcBorders>
              <w:top w:val="nil"/>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6" w:type="dxa"/>
            <w:gridSpan w:val="2"/>
            <w:tcBorders>
              <w:top w:val="nil"/>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858" w:type="dxa"/>
            <w:gridSpan w:val="2"/>
            <w:tcBorders>
              <w:top w:val="nil"/>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2080501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归口管理的行政单位离退休</w:t>
            </w:r>
          </w:p>
        </w:tc>
        <w:tc>
          <w:tcPr>
            <w:tcW w:w="1151"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0"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5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2080599</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其他行政事业单位离退休</w:t>
            </w:r>
          </w:p>
        </w:tc>
        <w:tc>
          <w:tcPr>
            <w:tcW w:w="115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1"/>
                <w:szCs w:val="21"/>
                <w:lang w:eastAsia="zh-CN"/>
              </w:rPr>
              <w:t>医疗卫生与计划生育支出</w:t>
            </w:r>
          </w:p>
        </w:tc>
        <w:tc>
          <w:tcPr>
            <w:tcW w:w="115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21005</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医疗保障</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2100502</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事业单位医疗</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20105</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统计信息事务</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212</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城乡社区支出</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21213</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城市基础设施配套</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2121301</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城市公共设施</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资源勘测信息等支出</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3000.00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3000.00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工业和信息产业监管</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3000.00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3000.00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2150510</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工业和信息产业支持</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1000.00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1000.00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2150599</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其他工业和信息产业监管支出</w:t>
            </w:r>
          </w:p>
        </w:tc>
        <w:tc>
          <w:tcPr>
            <w:tcW w:w="1151"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2000.00</w:t>
            </w:r>
          </w:p>
        </w:tc>
        <w:tc>
          <w:tcPr>
            <w:tcW w:w="102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2000.00</w:t>
            </w:r>
          </w:p>
        </w:tc>
        <w:tc>
          <w:tcPr>
            <w:tcW w:w="75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229</w:t>
            </w:r>
          </w:p>
        </w:tc>
        <w:tc>
          <w:tcPr>
            <w:tcW w:w="1511" w:type="dxa"/>
            <w:tcBorders>
              <w:top w:val="single" w:color="auto" w:sz="4" w:space="0"/>
              <w:left w:val="nil"/>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其他支出</w:t>
            </w:r>
          </w:p>
        </w:tc>
        <w:tc>
          <w:tcPr>
            <w:tcW w:w="1151" w:type="dxa"/>
            <w:gridSpan w:val="2"/>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22.80</w:t>
            </w:r>
          </w:p>
        </w:tc>
        <w:tc>
          <w:tcPr>
            <w:tcW w:w="1020" w:type="dxa"/>
            <w:gridSpan w:val="2"/>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22.80</w:t>
            </w:r>
          </w:p>
        </w:tc>
        <w:tc>
          <w:tcPr>
            <w:tcW w:w="753"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7"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796"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nil"/>
              <w:bottom w:val="single" w:color="auto" w:sz="8"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22.80</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注：本表反映部门本年度取得的各项收入情况。有关填表说明：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（3）1栏=（2+3+4+5+6+7）栏。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（5）该表数据来源于部门决算报表中的《收入决算表》（财决03表）。</w:t>
      </w:r>
    </w:p>
    <w:p>
      <w:pPr>
        <w:spacing w:line="360" w:lineRule="auto"/>
        <w:ind w:firstLine="523" w:firstLineChars="187"/>
        <w:rPr>
          <w:rFonts w:ascii="仿宋_GB2312" w:eastAsia="仿宋_GB2312"/>
          <w:sz w:val="28"/>
          <w:szCs w:val="28"/>
        </w:rPr>
      </w:pPr>
    </w:p>
    <w:p>
      <w:pPr>
        <w:spacing w:line="360" w:lineRule="auto"/>
        <w:ind w:firstLine="598" w:firstLineChars="187"/>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p>
      <w:pPr>
        <w:spacing w:line="360" w:lineRule="auto"/>
        <w:ind w:firstLine="374" w:firstLineChars="187"/>
        <w:jc w:val="left"/>
        <w:rPr>
          <w:rFonts w:ascii="宋体" w:hAnsi="宋体" w:cs="宋体"/>
          <w:color w:val="000000"/>
          <w:kern w:val="0"/>
          <w:sz w:val="20"/>
          <w:szCs w:val="20"/>
        </w:rPr>
      </w:pPr>
      <w:r>
        <w:rPr>
          <w:rFonts w:hint="eastAsia" w:ascii="宋体" w:hAnsi="宋体" w:cs="宋体"/>
          <w:color w:val="000000"/>
          <w:kern w:val="0"/>
          <w:sz w:val="20"/>
          <w:szCs w:val="20"/>
        </w:rPr>
        <w:t xml:space="preserve">                                                                      公开03表</w:t>
      </w:r>
    </w:p>
    <w:p>
      <w:pPr>
        <w:spacing w:line="360" w:lineRule="auto"/>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广州海珠（大埔）产业转移工业园管委会</w:t>
      </w:r>
      <w:r>
        <w:rPr>
          <w:rFonts w:hint="eastAsia" w:ascii="宋体" w:hAnsi="宋体" w:cs="宋体"/>
          <w:color w:val="000000"/>
          <w:kern w:val="0"/>
          <w:sz w:val="20"/>
          <w:szCs w:val="20"/>
        </w:rPr>
        <w:t xml:space="preserve">                                                            单位：万元</w:t>
      </w:r>
    </w:p>
    <w:tbl>
      <w:tblPr>
        <w:tblStyle w:val="6"/>
        <w:tblW w:w="9176" w:type="dxa"/>
        <w:tblInd w:w="91" w:type="dxa"/>
        <w:tblLayout w:type="fixed"/>
        <w:tblCellMar>
          <w:top w:w="0" w:type="dxa"/>
          <w:left w:w="108" w:type="dxa"/>
          <w:bottom w:w="0" w:type="dxa"/>
          <w:right w:w="108" w:type="dxa"/>
        </w:tblCellMar>
      </w:tblPr>
      <w:tblGrid>
        <w:gridCol w:w="1225"/>
        <w:gridCol w:w="1909"/>
        <w:gridCol w:w="992"/>
        <w:gridCol w:w="956"/>
        <w:gridCol w:w="1055"/>
        <w:gridCol w:w="992"/>
        <w:gridCol w:w="913"/>
        <w:gridCol w:w="1134"/>
      </w:tblGrid>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95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91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48" w:hRule="atLeast"/>
          <w:tblHeader/>
        </w:trPr>
        <w:tc>
          <w:tcPr>
            <w:tcW w:w="1225"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09"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1225" w:type="dxa"/>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9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5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3134"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1"/>
                <w:szCs w:val="21"/>
                <w:lang w:val="en-US" w:eastAsia="zh-CN"/>
              </w:rPr>
              <w:t>3224.37</w:t>
            </w:r>
            <w:r>
              <w:rPr>
                <w:rFonts w:hint="eastAsia" w:ascii="宋体" w:hAnsi="宋体" w:cs="宋体"/>
                <w:kern w:val="0"/>
                <w:sz w:val="24"/>
              </w:rPr>
              <w:t>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214.37</w:t>
            </w:r>
            <w:r>
              <w:rPr>
                <w:rFonts w:hint="eastAsia" w:ascii="宋体" w:hAnsi="宋体" w:cs="宋体"/>
                <w:kern w:val="0"/>
                <w:sz w:val="24"/>
              </w:rPr>
              <w:t>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1"/>
                <w:szCs w:val="21"/>
                <w:lang w:val="en-US" w:eastAsia="zh-CN"/>
              </w:rPr>
              <w:t>3010.00</w:t>
            </w: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一般公共服务支出</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188.99</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188.99</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人大事务</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行政运行</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2010102</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一般行政管理事务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其他人大事务支出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cs="宋体" w:eastAsiaTheme="minorEastAsia"/>
                <w:color w:val="auto"/>
                <w:kern w:val="0"/>
                <w:sz w:val="24"/>
                <w:lang w:eastAsia="zh-CN"/>
              </w:rPr>
            </w:pPr>
            <w:r>
              <w:rPr>
                <w:rFonts w:hint="eastAsia" w:ascii="仿宋_GB2312" w:hAnsi="宋体" w:eastAsia="仿宋_GB2312" w:cs="宋体"/>
                <w:color w:val="auto"/>
                <w:kern w:val="0"/>
                <w:sz w:val="24"/>
                <w:lang w:val="en-US" w:eastAsia="zh-CN"/>
              </w:rPr>
              <w:t>20103</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eastAsiaTheme="minorEastAsia"/>
                <w:color w:val="auto"/>
                <w:kern w:val="0"/>
                <w:sz w:val="24"/>
                <w:lang w:eastAsia="zh-CN"/>
              </w:rPr>
            </w:pPr>
            <w:r>
              <w:rPr>
                <w:rFonts w:hint="eastAsia" w:ascii="宋体" w:hAnsi="宋体" w:cs="宋体"/>
                <w:color w:val="auto"/>
                <w:kern w:val="0"/>
                <w:sz w:val="24"/>
                <w:lang w:eastAsia="zh-CN"/>
              </w:rPr>
              <w:t>政府办公厅（室）及相关机构事务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188.64</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188.64</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社会保障和就业支出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20805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行政事业单位离退休</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2080501</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归口管理的行政单位离退休</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2080599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其他行政事业单位离退休</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医疗卫生与计划生育支出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2.59</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2.59</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4"/>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21005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医疗保障</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2100502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事业单位医疗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20105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统计信息事务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2010501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行政运行</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城乡社区支出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21213</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城市基础设施配套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2121301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城市公共设施</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资源勘测信息等支出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3000.00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3000.00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工业和信息产业监管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3000.00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3000.00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2150510</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工业和信息产业支持</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1000.00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1000.00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2150599</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其他工业和信息产业监管支出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2000.00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1"/>
                <w:szCs w:val="21"/>
                <w:lang w:val="en-US" w:eastAsia="zh-CN"/>
              </w:rPr>
              <w:t>2000.00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229</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其他支出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22.80</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22.80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0.00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注：本表反映部门本年度各项支出情况。有关填表说明：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（3）1栏=（2+3+4+5+6）栏。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（5）该表数据来源于部门决算报表中的《支出决算表》（财决04表）。</w:t>
      </w:r>
    </w:p>
    <w:p>
      <w:pPr>
        <w:spacing w:line="288" w:lineRule="auto"/>
        <w:ind w:firstLine="643" w:firstLineChars="200"/>
        <w:rPr>
          <w:rFonts w:ascii="仿宋_GB2312" w:eastAsia="仿宋_GB2312"/>
          <w:b/>
          <w:sz w:val="32"/>
          <w:szCs w:val="32"/>
        </w:rPr>
      </w:pPr>
    </w:p>
    <w:p>
      <w:pPr>
        <w:spacing w:line="288" w:lineRule="auto"/>
        <w:ind w:firstLine="640" w:firstLineChars="20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p>
      <w:pPr>
        <w:spacing w:line="288" w:lineRule="auto"/>
        <w:ind w:firstLine="400" w:firstLineChars="200"/>
        <w:jc w:val="right"/>
        <w:rPr>
          <w:rFonts w:ascii="宋体" w:hAnsi="宋体" w:cs="宋体"/>
          <w:color w:val="000000"/>
          <w:kern w:val="0"/>
          <w:sz w:val="20"/>
          <w:szCs w:val="20"/>
        </w:rPr>
      </w:pPr>
      <w:r>
        <w:rPr>
          <w:rFonts w:hint="eastAsia" w:ascii="宋体" w:hAnsi="宋体" w:cs="宋体"/>
          <w:color w:val="000000"/>
          <w:kern w:val="0"/>
          <w:sz w:val="20"/>
          <w:szCs w:val="20"/>
        </w:rPr>
        <w:t>公开04表</w:t>
      </w:r>
    </w:p>
    <w:p>
      <w:pPr>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1"/>
          <w:szCs w:val="21"/>
          <w:lang w:eastAsia="zh-CN"/>
        </w:rPr>
        <w:t>广州海珠（大埔）产业转移工业园管委会</w:t>
      </w:r>
      <w:r>
        <w:rPr>
          <w:rFonts w:hint="eastAsia" w:ascii="宋体" w:hAnsi="宋体" w:cs="宋体"/>
          <w:color w:val="000000"/>
          <w:kern w:val="0"/>
          <w:sz w:val="20"/>
          <w:szCs w:val="20"/>
        </w:rPr>
        <w:t xml:space="preserve">                                                                   单位：万元  </w:t>
      </w:r>
    </w:p>
    <w:tbl>
      <w:tblPr>
        <w:tblStyle w:val="6"/>
        <w:tblW w:w="9195" w:type="dxa"/>
        <w:tblInd w:w="91" w:type="dxa"/>
        <w:tblLayout w:type="fixed"/>
        <w:tblCellMar>
          <w:top w:w="0" w:type="dxa"/>
          <w:left w:w="108" w:type="dxa"/>
          <w:bottom w:w="0" w:type="dxa"/>
          <w:right w:w="108" w:type="dxa"/>
        </w:tblCellMar>
      </w:tblPr>
      <w:tblGrid>
        <w:gridCol w:w="1858"/>
        <w:gridCol w:w="556"/>
        <w:gridCol w:w="976"/>
        <w:gridCol w:w="1870"/>
        <w:gridCol w:w="556"/>
        <w:gridCol w:w="979"/>
        <w:gridCol w:w="1020"/>
        <w:gridCol w:w="1380"/>
      </w:tblGrid>
      <w:tr>
        <w:tblPrEx>
          <w:tblLayout w:type="fixed"/>
          <w:tblCellMar>
            <w:top w:w="0" w:type="dxa"/>
            <w:left w:w="108" w:type="dxa"/>
            <w:bottom w:w="0" w:type="dxa"/>
            <w:right w:w="108" w:type="dxa"/>
          </w:tblCellMar>
        </w:tblPrEx>
        <w:trPr>
          <w:trHeight w:val="402" w:hRule="atLeast"/>
          <w:tblHeader/>
        </w:trPr>
        <w:tc>
          <w:tcPr>
            <w:tcW w:w="33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580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97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9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3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9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97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97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3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1</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1"/>
                <w:szCs w:val="21"/>
                <w:lang w:val="en-US" w:eastAsia="zh-CN"/>
              </w:rPr>
              <w:t>3191.57</w:t>
            </w:r>
            <w:r>
              <w:rPr>
                <w:rFonts w:hint="eastAsia" w:ascii="宋体" w:hAnsi="宋体" w:cs="宋体"/>
                <w:kern w:val="0"/>
                <w:sz w:val="21"/>
                <w:szCs w:val="21"/>
              </w:rPr>
              <w:t>　</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1"/>
                <w:szCs w:val="21"/>
                <w:lang w:val="en-US" w:eastAsia="zh-CN"/>
              </w:rPr>
              <w:t>188.99</w:t>
            </w:r>
            <w:r>
              <w:rPr>
                <w:rFonts w:hint="eastAsia" w:ascii="宋体" w:hAnsi="宋体" w:cs="宋体"/>
                <w:kern w:val="0"/>
                <w:sz w:val="21"/>
                <w:szCs w:val="21"/>
              </w:rPr>
              <w:t>　</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188.99</w:t>
            </w:r>
            <w:r>
              <w:rPr>
                <w:rFonts w:hint="eastAsia" w:ascii="宋体" w:hAnsi="宋体" w:cs="宋体"/>
                <w:kern w:val="0"/>
                <w:sz w:val="22"/>
                <w:szCs w:val="22"/>
              </w:rPr>
              <w:t>　</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10.00</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24"/>
                <w:lang w:eastAsia="zh-CN"/>
              </w:rPr>
            </w:pPr>
            <w:r>
              <w:rPr>
                <w:rFonts w:hint="eastAsia" w:ascii="宋体" w:hAnsi="宋体" w:cs="宋体"/>
                <w:kern w:val="0"/>
                <w:sz w:val="24"/>
                <w:lang w:eastAsia="zh-CN"/>
              </w:rPr>
              <w:t>七、医疗卫生与计划生育支出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2.59</w:t>
            </w:r>
            <w:r>
              <w:rPr>
                <w:rFonts w:hint="eastAsia" w:ascii="宋体" w:hAnsi="宋体" w:cs="宋体"/>
                <w:kern w:val="0"/>
                <w:sz w:val="22"/>
                <w:szCs w:val="22"/>
              </w:rPr>
              <w:t>　</w:t>
            </w:r>
          </w:p>
        </w:tc>
        <w:tc>
          <w:tcPr>
            <w:tcW w:w="102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2.59</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八、城乡社区支出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10.00</w:t>
            </w:r>
            <w:r>
              <w:rPr>
                <w:rFonts w:hint="eastAsia" w:ascii="宋体" w:hAnsi="宋体" w:cs="宋体"/>
                <w:kern w:val="0"/>
                <w:sz w:val="22"/>
                <w:szCs w:val="22"/>
              </w:rPr>
              <w:t>　</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10.00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1870"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lang w:eastAsia="zh-CN"/>
              </w:rPr>
              <w:t>九、资源勘探信息等支出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23</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1"/>
                <w:szCs w:val="21"/>
                <w:lang w:val="en-US" w:eastAsia="zh-CN"/>
              </w:rPr>
              <w:t>3000.00</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0.00</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3000.00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1"/>
                <w:szCs w:val="21"/>
                <w:lang w:val="en-US" w:eastAsia="zh-CN"/>
              </w:rPr>
              <w:t>3201.57</w:t>
            </w:r>
            <w:r>
              <w:rPr>
                <w:rFonts w:hint="eastAsia" w:ascii="宋体" w:hAnsi="宋体" w:cs="宋体"/>
                <w:kern w:val="0"/>
                <w:sz w:val="22"/>
                <w:szCs w:val="22"/>
              </w:rPr>
              <w:t>　</w:t>
            </w:r>
          </w:p>
        </w:tc>
        <w:tc>
          <w:tcPr>
            <w:tcW w:w="187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4</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1"/>
                <w:szCs w:val="21"/>
                <w:lang w:val="en-US" w:eastAsia="zh-CN"/>
              </w:rPr>
              <w:t>3201.57</w:t>
            </w:r>
            <w:r>
              <w:rPr>
                <w:rFonts w:hint="eastAsia" w:ascii="宋体" w:hAnsi="宋体" w:cs="宋体"/>
                <w:kern w:val="0"/>
                <w:sz w:val="22"/>
                <w:szCs w:val="22"/>
                <w:lang w:val="en-US" w:eastAsia="zh-CN"/>
              </w:rPr>
              <w:t>　</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1"/>
                <w:szCs w:val="21"/>
                <w:lang w:val="en-US" w:eastAsia="zh-CN"/>
              </w:rPr>
              <w:t>3191.57</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10.00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年初财政拨款结转和结余</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87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5</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870"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6</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both"/>
              <w:rPr>
                <w:rFonts w:ascii="宋体" w:hAnsi="宋体" w:cs="宋体"/>
                <w:kern w:val="0"/>
                <w:sz w:val="22"/>
                <w:szCs w:val="22"/>
              </w:rPr>
            </w:pPr>
            <w:r>
              <w:rPr>
                <w:rFonts w:hint="eastAsia" w:ascii="宋体" w:hAnsi="宋体" w:cs="宋体"/>
                <w:kern w:val="0"/>
                <w:sz w:val="22"/>
                <w:szCs w:val="22"/>
              </w:rPr>
              <w:t>政府性基金预算财政拨款</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870"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7</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870"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8</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64"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1"/>
                <w:szCs w:val="21"/>
                <w:lang w:val="en-US" w:eastAsia="zh-CN"/>
              </w:rPr>
              <w:t>3201.57</w:t>
            </w:r>
            <w:r>
              <w:rPr>
                <w:rFonts w:hint="eastAsia" w:ascii="宋体" w:hAnsi="宋体" w:cs="宋体"/>
                <w:kern w:val="0"/>
                <w:sz w:val="21"/>
                <w:szCs w:val="21"/>
              </w:rPr>
              <w:t>　</w:t>
            </w:r>
          </w:p>
        </w:tc>
        <w:tc>
          <w:tcPr>
            <w:tcW w:w="1870"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9</w:t>
            </w:r>
          </w:p>
        </w:tc>
        <w:tc>
          <w:tcPr>
            <w:tcW w:w="97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1"/>
                <w:szCs w:val="21"/>
                <w:lang w:val="en-US" w:eastAsia="zh-CN"/>
              </w:rPr>
              <w:t>3201.57</w:t>
            </w:r>
            <w:r>
              <w:rPr>
                <w:rFonts w:hint="eastAsia" w:ascii="宋体" w:hAnsi="宋体" w:cs="宋体"/>
                <w:kern w:val="0"/>
                <w:sz w:val="22"/>
                <w:szCs w:val="22"/>
                <w:lang w:val="en-US" w:eastAsia="zh-CN"/>
              </w:rPr>
              <w:t>　</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1"/>
                <w:szCs w:val="21"/>
                <w:lang w:val="en-US" w:eastAsia="zh-CN"/>
              </w:rPr>
              <w:t>3191.57</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kern w:val="0"/>
                <w:sz w:val="22"/>
                <w:szCs w:val="22"/>
                <w:lang w:val="en-US" w:eastAsia="zh-CN"/>
              </w:rPr>
              <w:t>10.00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注：本表反映部门本年度财政拨款的总收支和年末结转结余情况。有关填表说明：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本表支出项目填列到类级支出科目，没有发生数的类级支出科目不用填列。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（3）收入总计数应等于支出总计数。</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（4）此表没有发生数据的，在合计栏填“0”，并在该表下方附简要说明。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（5）该表数据来源于部门决算报表中的《财政拨款收入支出决算总表》（财决01-1表）。</w:t>
      </w:r>
    </w:p>
    <w:p>
      <w:pPr>
        <w:spacing w:line="288" w:lineRule="auto"/>
        <w:rPr>
          <w:rFonts w:ascii="仿宋_GB2312" w:eastAsia="仿宋_GB2312"/>
          <w:b/>
          <w:sz w:val="32"/>
          <w:szCs w:val="32"/>
        </w:rPr>
      </w:pPr>
    </w:p>
    <w:tbl>
      <w:tblPr>
        <w:tblStyle w:val="6"/>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Layout w:type="fixed"/>
          <w:tblCellMar>
            <w:top w:w="0" w:type="dxa"/>
            <w:left w:w="108" w:type="dxa"/>
            <w:bottom w:w="0" w:type="dxa"/>
            <w:right w:w="108" w:type="dxa"/>
          </w:tblCellMar>
        </w:tblPrEx>
        <w:trPr>
          <w:trHeight w:val="300" w:hRule="atLeast"/>
        </w:trPr>
        <w:tc>
          <w:tcPr>
            <w:tcW w:w="1120"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1"/>
                <w:szCs w:val="21"/>
                <w:lang w:eastAsia="zh-CN"/>
              </w:rPr>
              <w:t>广州海珠（大埔）产业转移工业园管委会</w:t>
            </w:r>
            <w:r>
              <w:rPr>
                <w:rFonts w:hint="eastAsia" w:ascii="宋体" w:hAnsi="宋体" w:cs="宋体"/>
                <w:kern w:val="0"/>
                <w:sz w:val="20"/>
                <w:szCs w:val="20"/>
              </w:rPr>
              <w:t>　</w:t>
            </w:r>
          </w:p>
        </w:tc>
        <w:tc>
          <w:tcPr>
            <w:tcW w:w="1985"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85"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3191.57</w:t>
            </w:r>
            <w:r>
              <w:rPr>
                <w:rFonts w:hint="eastAsia" w:ascii="宋体" w:hAnsi="宋体" w:cs="宋体"/>
                <w:kern w:val="0"/>
                <w:sz w:val="24"/>
              </w:rPr>
              <w:t>　</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191.57</w:t>
            </w:r>
            <w:r>
              <w:rPr>
                <w:rFonts w:hint="eastAsia" w:ascii="宋体" w:hAnsi="宋体" w:cs="宋体"/>
                <w:kern w:val="0"/>
                <w:sz w:val="24"/>
              </w:rPr>
              <w:t>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3000.00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一般公共服务支出</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188.99</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188.99</w:t>
            </w:r>
          </w:p>
        </w:tc>
        <w:tc>
          <w:tcPr>
            <w:tcW w:w="198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人大事务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行政运行</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2010102</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一般行政管理事务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2010199</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其他人大事务支出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cs="宋体" w:eastAsiaTheme="minorEastAsia"/>
                <w:color w:val="auto"/>
                <w:kern w:val="0"/>
                <w:sz w:val="24"/>
                <w:lang w:eastAsia="zh-CN"/>
              </w:rPr>
            </w:pPr>
            <w:r>
              <w:rPr>
                <w:rFonts w:hint="eastAsia" w:ascii="仿宋_GB2312" w:hAnsi="宋体" w:eastAsia="仿宋_GB2312" w:cs="宋体"/>
                <w:color w:val="auto"/>
                <w:kern w:val="0"/>
                <w:sz w:val="24"/>
                <w:lang w:val="en-US" w:eastAsia="zh-CN"/>
              </w:rPr>
              <w:t>20103</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cs="宋体" w:eastAsiaTheme="minorEastAsia"/>
                <w:color w:val="auto"/>
                <w:kern w:val="0"/>
                <w:sz w:val="24"/>
                <w:lang w:eastAsia="zh-CN"/>
              </w:rPr>
            </w:pPr>
            <w:r>
              <w:rPr>
                <w:rFonts w:hint="eastAsia" w:ascii="仿宋_GB2312" w:hAnsi="宋体" w:eastAsia="仿宋_GB2312" w:cs="宋体"/>
                <w:color w:val="auto"/>
                <w:kern w:val="0"/>
                <w:sz w:val="24"/>
                <w:lang w:eastAsia="zh-CN"/>
              </w:rPr>
              <w:t>政府办公厅（室）及相关机构事务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188.64</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社会保障和就业支出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20805</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行政事业单位离退休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2080501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归口管理的行政单位离退休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2080599</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仿宋_GB2312" w:hAnsi="宋体" w:eastAsia="仿宋_GB2312" w:cs="宋体"/>
                <w:color w:val="auto"/>
                <w:kern w:val="0"/>
                <w:sz w:val="24"/>
              </w:rPr>
              <w:t>其他行政事业单位离退休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cs="宋体" w:eastAsiaTheme="minorEastAsia"/>
                <w:color w:val="auto"/>
                <w:kern w:val="0"/>
                <w:sz w:val="24"/>
                <w:lang w:eastAsia="zh-CN"/>
              </w:rPr>
            </w:pPr>
            <w:r>
              <w:rPr>
                <w:rFonts w:hint="eastAsia" w:ascii="仿宋_GB2312" w:hAnsi="宋体" w:eastAsia="仿宋_GB2312" w:cs="宋体"/>
                <w:color w:val="auto"/>
                <w:kern w:val="0"/>
                <w:sz w:val="24"/>
                <w:lang w:val="en-US" w:eastAsia="zh-CN"/>
              </w:rPr>
              <w:t>210</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eastAsia="zh-CN"/>
              </w:rPr>
              <w:t>医疗卫生与计划生育支出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21005　</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color w:val="auto"/>
                <w:kern w:val="0"/>
                <w:sz w:val="24"/>
              </w:rPr>
            </w:pPr>
            <w:r>
              <w:rPr>
                <w:rFonts w:hint="eastAsia" w:ascii="宋体" w:hAnsi="宋体" w:cs="宋体"/>
                <w:color w:val="auto"/>
                <w:kern w:val="0"/>
                <w:sz w:val="24"/>
              </w:rPr>
              <w:t>　</w:t>
            </w:r>
            <w:r>
              <w:rPr>
                <w:rFonts w:hint="eastAsia" w:ascii="宋体" w:hAnsi="宋体" w:cs="宋体"/>
                <w:color w:val="auto"/>
                <w:kern w:val="0"/>
                <w:sz w:val="24"/>
                <w:lang w:eastAsia="zh-CN"/>
              </w:rPr>
              <w:t>医疗保障</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　</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2100502</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eastAsiaTheme="minorEastAsia"/>
                <w:color w:val="auto"/>
                <w:kern w:val="0"/>
                <w:sz w:val="24"/>
                <w:lang w:eastAsia="zh-CN"/>
              </w:rPr>
            </w:pPr>
            <w:r>
              <w:rPr>
                <w:rFonts w:hint="eastAsia" w:ascii="宋体" w:hAnsi="宋体" w:cs="宋体"/>
                <w:color w:val="auto"/>
                <w:kern w:val="0"/>
                <w:sz w:val="24"/>
                <w:lang w:eastAsia="zh-CN"/>
              </w:rPr>
              <w:t>事业单位医疗</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　</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2.59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20105</w:t>
            </w:r>
          </w:p>
        </w:tc>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color w:val="auto"/>
                <w:kern w:val="0"/>
                <w:sz w:val="24"/>
                <w:lang w:eastAsia="zh-CN"/>
              </w:rPr>
            </w:pPr>
            <w:r>
              <w:rPr>
                <w:rFonts w:hint="eastAsia" w:ascii="仿宋_GB2312" w:hAnsi="宋体" w:eastAsia="仿宋_GB2312" w:cs="宋体"/>
                <w:color w:val="auto"/>
                <w:kern w:val="0"/>
                <w:sz w:val="24"/>
                <w:lang w:eastAsia="zh-CN"/>
              </w:rPr>
              <w:t>统计信息事务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2010501</w:t>
            </w:r>
          </w:p>
        </w:tc>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color w:val="auto"/>
                <w:kern w:val="0"/>
                <w:sz w:val="24"/>
                <w:lang w:eastAsia="zh-CN"/>
              </w:rPr>
            </w:pPr>
            <w:r>
              <w:rPr>
                <w:rFonts w:hint="eastAsia" w:ascii="仿宋_GB2312" w:hAnsi="宋体" w:eastAsia="仿宋_GB2312" w:cs="宋体"/>
                <w:color w:val="auto"/>
                <w:kern w:val="0"/>
                <w:sz w:val="24"/>
                <w:lang w:eastAsia="zh-CN"/>
              </w:rPr>
              <w:t>行政运行</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0.35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w:t>
            </w:r>
          </w:p>
        </w:tc>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资源勘测信息等支出</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3000.00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仿宋_GB2312" w:hAnsi="宋体" w:eastAsia="仿宋_GB2312" w:cs="宋体"/>
                <w:color w:val="auto"/>
                <w:kern w:val="0"/>
                <w:sz w:val="24"/>
                <w:lang w:val="en-US" w:eastAsia="zh-CN"/>
              </w:rPr>
              <w:t>3000.00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w:t>
            </w:r>
          </w:p>
        </w:tc>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工业和信息产业监管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3000.00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仿宋_GB2312" w:hAnsi="宋体" w:eastAsia="仿宋_GB2312" w:cs="宋体"/>
                <w:color w:val="auto"/>
                <w:kern w:val="0"/>
                <w:sz w:val="24"/>
                <w:lang w:val="en-US" w:eastAsia="zh-CN"/>
              </w:rPr>
              <w:t>3000.00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2150510</w:t>
            </w:r>
          </w:p>
        </w:tc>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工业和信息产业支持</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1000.00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仿宋_GB2312" w:hAnsi="宋体" w:eastAsia="仿宋_GB2312" w:cs="宋体"/>
                <w:color w:val="auto"/>
                <w:kern w:val="0"/>
                <w:sz w:val="24"/>
                <w:lang w:val="en-US" w:eastAsia="zh-CN"/>
              </w:rPr>
              <w:t>1000.00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2150599</w:t>
            </w:r>
          </w:p>
        </w:tc>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其他工业和信息产业监管支出</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2000.00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仿宋_GB2312" w:hAnsi="宋体" w:eastAsia="仿宋_GB2312" w:cs="宋体"/>
                <w:color w:val="auto"/>
                <w:kern w:val="0"/>
                <w:sz w:val="24"/>
                <w:lang w:val="en-US" w:eastAsia="zh-CN"/>
              </w:rPr>
              <w:t>2000.00</w:t>
            </w:r>
          </w:p>
        </w:tc>
      </w:tr>
    </w:tbl>
    <w:p>
      <w:pPr>
        <w:spacing w:line="288" w:lineRule="auto"/>
        <w:rPr>
          <w:rFonts w:ascii="仿宋_GB2312" w:eastAsia="仿宋_GB2312"/>
          <w:color w:val="auto"/>
          <w:sz w:val="28"/>
          <w:szCs w:val="28"/>
        </w:rPr>
      </w:pPr>
      <w:r>
        <w:rPr>
          <w:rFonts w:hint="eastAsia" w:ascii="仿宋_GB2312" w:eastAsia="仿宋_GB2312"/>
          <w:color w:val="auto"/>
          <w:sz w:val="28"/>
          <w:szCs w:val="28"/>
        </w:rPr>
        <w:t>注：本表反映部门本年度一般公共预算财政拨款实际支出情况。有关填表说明：</w:t>
      </w:r>
    </w:p>
    <w:p>
      <w:pPr>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（1）本表数据填列当年决算数，以“万元”为金额单位，保留两位小数。</w:t>
      </w:r>
    </w:p>
    <w:p>
      <w:pPr>
        <w:spacing w:line="580" w:lineRule="exact"/>
        <w:ind w:firstLine="560" w:firstLineChars="200"/>
        <w:rPr>
          <w:rFonts w:ascii="仿宋_GB2312" w:eastAsia="仿宋_GB2312"/>
          <w:color w:val="auto"/>
          <w:sz w:val="28"/>
          <w:szCs w:val="28"/>
        </w:rPr>
      </w:pPr>
      <w:r>
        <w:rPr>
          <w:rFonts w:hint="eastAsia" w:ascii="仿宋_GB2312" w:hAnsi="宋体" w:eastAsia="仿宋_GB2312"/>
          <w:color w:val="auto"/>
          <w:sz w:val="28"/>
          <w:szCs w:val="28"/>
        </w:rPr>
        <w:t>（2）</w:t>
      </w:r>
      <w:r>
        <w:rPr>
          <w:rFonts w:hint="eastAsia" w:ascii="仿宋_GB2312" w:eastAsia="仿宋_GB2312"/>
          <w:color w:val="auto"/>
          <w:sz w:val="28"/>
          <w:szCs w:val="28"/>
        </w:rPr>
        <w:t>本表功能科目填列到项级支出科目，没有发生数的支出科目不用填列。</w:t>
      </w:r>
    </w:p>
    <w:p>
      <w:pPr>
        <w:spacing w:line="5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（3）1栏=（2+3）栏。</w:t>
      </w:r>
    </w:p>
    <w:p>
      <w:pPr>
        <w:spacing w:line="360" w:lineRule="auto"/>
        <w:ind w:firstLine="523" w:firstLineChars="187"/>
        <w:rPr>
          <w:rFonts w:ascii="仿宋_GB2312" w:eastAsia="仿宋_GB2312"/>
          <w:color w:val="auto"/>
          <w:sz w:val="28"/>
          <w:szCs w:val="28"/>
        </w:rPr>
      </w:pPr>
      <w:r>
        <w:rPr>
          <w:rFonts w:hint="eastAsia" w:ascii="仿宋_GB2312" w:eastAsia="仿宋_GB2312"/>
          <w:color w:val="auto"/>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color w:val="auto"/>
          <w:sz w:val="28"/>
          <w:szCs w:val="28"/>
        </w:rPr>
        <w:t>（5）该表数据来源于部门决算报表中的《一般公共预算财政拨款收入支出决算表》（财决07表）和《项目收入支出决算表》（财决</w:t>
      </w:r>
      <w:r>
        <w:rPr>
          <w:rFonts w:hint="eastAsia" w:ascii="仿宋_GB2312" w:eastAsia="仿宋_GB2312"/>
          <w:sz w:val="28"/>
          <w:szCs w:val="28"/>
        </w:rPr>
        <w:t>06表）。</w:t>
      </w:r>
    </w:p>
    <w:p>
      <w:pPr>
        <w:spacing w:line="288" w:lineRule="auto"/>
        <w:ind w:firstLine="643" w:firstLineChars="200"/>
        <w:rPr>
          <w:rFonts w:ascii="仿宋_GB2312" w:eastAsia="仿宋_GB2312"/>
          <w:b/>
          <w:sz w:val="32"/>
          <w:szCs w:val="32"/>
        </w:rPr>
      </w:pPr>
    </w:p>
    <w:p>
      <w:pPr>
        <w:spacing w:line="288" w:lineRule="auto"/>
        <w:ind w:firstLine="64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p>
      <w:pPr>
        <w:spacing w:line="288" w:lineRule="auto"/>
        <w:ind w:firstLine="400"/>
        <w:jc w:val="right"/>
        <w:rPr>
          <w:rFonts w:ascii="宋体" w:hAnsi="宋体" w:cs="宋体"/>
          <w:color w:val="000000"/>
          <w:kern w:val="0"/>
          <w:sz w:val="20"/>
          <w:szCs w:val="20"/>
        </w:rPr>
      </w:pPr>
      <w:r>
        <w:rPr>
          <w:rFonts w:hint="eastAsia" w:ascii="宋体" w:hAnsi="宋体" w:cs="宋体"/>
          <w:color w:val="000000"/>
          <w:kern w:val="0"/>
          <w:sz w:val="20"/>
          <w:szCs w:val="20"/>
        </w:rPr>
        <w:t>公开06表</w:t>
      </w:r>
    </w:p>
    <w:p>
      <w:pPr>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广州海珠（大埔）产业转移工业园管委会</w:t>
      </w:r>
      <w:r>
        <w:rPr>
          <w:rFonts w:hint="eastAsia" w:ascii="宋体" w:hAnsi="宋体" w:cs="宋体"/>
          <w:color w:val="000000"/>
          <w:kern w:val="0"/>
          <w:sz w:val="20"/>
          <w:szCs w:val="20"/>
        </w:rPr>
        <w:t xml:space="preserve">                                                        单位：万元</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410"/>
        <w:gridCol w:w="886"/>
        <w:gridCol w:w="1240"/>
        <w:gridCol w:w="2309"/>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trPr>
        <w:tc>
          <w:tcPr>
            <w:tcW w:w="4537"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1241"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86"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c>
          <w:tcPr>
            <w:tcW w:w="124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309"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974"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41"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86" w:type="dxa"/>
            <w:vMerge w:val="continue"/>
            <w:vAlign w:val="center"/>
          </w:tcPr>
          <w:p>
            <w:pPr>
              <w:widowControl/>
              <w:jc w:val="left"/>
              <w:rPr>
                <w:rFonts w:ascii="仿宋" w:hAnsi="仿宋" w:eastAsia="仿宋" w:cs="宋体"/>
                <w:color w:val="000000"/>
                <w:kern w:val="0"/>
                <w:sz w:val="24"/>
              </w:rPr>
            </w:pPr>
          </w:p>
        </w:tc>
        <w:tc>
          <w:tcPr>
            <w:tcW w:w="1240" w:type="dxa"/>
            <w:vMerge w:val="continue"/>
            <w:vAlign w:val="center"/>
          </w:tcPr>
          <w:p>
            <w:pPr>
              <w:widowControl/>
              <w:jc w:val="left"/>
              <w:rPr>
                <w:rFonts w:ascii="仿宋" w:hAnsi="仿宋" w:eastAsia="仿宋" w:cs="宋体"/>
                <w:color w:val="000000"/>
                <w:kern w:val="0"/>
                <w:sz w:val="24"/>
              </w:rPr>
            </w:pPr>
          </w:p>
        </w:tc>
        <w:tc>
          <w:tcPr>
            <w:tcW w:w="2309" w:type="dxa"/>
            <w:vMerge w:val="continue"/>
            <w:vAlign w:val="center"/>
          </w:tcPr>
          <w:p>
            <w:pPr>
              <w:widowControl/>
              <w:jc w:val="left"/>
              <w:rPr>
                <w:rFonts w:ascii="仿宋" w:hAnsi="仿宋" w:eastAsia="仿宋" w:cs="宋体"/>
                <w:color w:val="000000"/>
                <w:kern w:val="0"/>
                <w:sz w:val="24"/>
              </w:rPr>
            </w:pPr>
          </w:p>
        </w:tc>
        <w:tc>
          <w:tcPr>
            <w:tcW w:w="974"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工资福利支出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49.74</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w:t>
            </w:r>
          </w:p>
        </w:tc>
        <w:tc>
          <w:tcPr>
            <w:tcW w:w="230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商品和服务支出</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102.42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基本工资</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15.66</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12.45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津贴补贴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30.5</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30202</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印刷费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0.00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30203</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咨询费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其他社会保障缴费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30204</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手续费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0.43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伙食补助费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30205</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水费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0.13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绩效工资</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30206</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电费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0.29</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机关事业单位基本养老保险缴费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30207</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邮电费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0.65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职业年金缴费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30208</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取暖费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其他工资福利支出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3.59</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物业管理费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对个人和家庭的补助</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9.15</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差旅费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离休费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30212</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因公出国（境）费用</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退休费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30213</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维修(护)费</w:t>
            </w:r>
          </w:p>
        </w:tc>
        <w:tc>
          <w:tcPr>
            <w:tcW w:w="974"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27.3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退职（役）费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30214</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租赁费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抚恤金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30215</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会议费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生活补助</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30216</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培训费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救济费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30217</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公务接待费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医疗费</w:t>
            </w:r>
          </w:p>
        </w:tc>
        <w:tc>
          <w:tcPr>
            <w:tcW w:w="886" w:type="dxa"/>
            <w:vAlign w:val="center"/>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2.59</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30218</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专用材料费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助学金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30224</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被装购置费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奖励金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5.18</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30225</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专用燃料费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生产补贴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30226</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劳务费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住房公积金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30227</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委托业务费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提租补贴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30228</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工会经费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购房补贴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福利费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采暖补贴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公务用车运行维护费</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物业服务补贴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其他交通费用</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其他对个人和家庭的补助支出</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1.39</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30240</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税金及附加费用</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30299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其他商品和服务支出</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w:t>
            </w:r>
          </w:p>
        </w:tc>
        <w:tc>
          <w:tcPr>
            <w:tcW w:w="230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其他资本性支出</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房屋建筑物购建</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31002</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办公设备购置</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31003</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专用设备购置</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31005</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基础设施建设</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31006</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大型修缮</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31007</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信息网络及软件购置更新</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31008</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物资储备</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土地补偿</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31010</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安置补助</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地上附着物和青苗补偿</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31012</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拆迁补偿</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31013</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公务用车购置</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其他交通工具购置</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31020</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产权参股</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31099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其他资本性支出</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w:t>
            </w:r>
          </w:p>
        </w:tc>
        <w:tc>
          <w:tcPr>
            <w:tcW w:w="230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对企事业单位的补贴</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企业政策性补贴</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30402</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事业单位补贴</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30403</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财政贴息</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30499</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其他对企事业单位的补贴</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w:t>
            </w:r>
          </w:p>
        </w:tc>
        <w:tc>
          <w:tcPr>
            <w:tcW w:w="230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债务利息支出</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30701</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国内债务付息</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30707</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国外债务付息</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w:t>
            </w:r>
          </w:p>
        </w:tc>
        <w:tc>
          <w:tcPr>
            <w:tcW w:w="230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其他支出</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39906</w:t>
            </w:r>
          </w:p>
        </w:tc>
        <w:tc>
          <w:tcPr>
            <w:tcW w:w="230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赠与</w:t>
            </w:r>
          </w:p>
        </w:tc>
        <w:tc>
          <w:tcPr>
            <w:tcW w:w="974"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651"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人员经费合计</w:t>
            </w:r>
          </w:p>
        </w:tc>
        <w:tc>
          <w:tcPr>
            <w:tcW w:w="886" w:type="dxa"/>
            <w:vAlign w:val="center"/>
          </w:tcPr>
          <w:p>
            <w:pPr>
              <w:widowControl/>
              <w:jc w:val="right"/>
              <w:rPr>
                <w:rFonts w:ascii="宋体" w:hAnsi="宋体" w:cs="Arial"/>
                <w:color w:val="000000"/>
                <w:kern w:val="0"/>
                <w:sz w:val="24"/>
              </w:rPr>
            </w:pPr>
            <w:r>
              <w:rPr>
                <w:rFonts w:hint="eastAsia" w:ascii="宋体" w:hAnsi="宋体" w:cs="Arial"/>
                <w:color w:val="000000"/>
                <w:kern w:val="0"/>
                <w:sz w:val="24"/>
                <w:lang w:val="en-US" w:eastAsia="zh-CN"/>
              </w:rPr>
              <w:t>58.89</w:t>
            </w:r>
            <w:r>
              <w:rPr>
                <w:rFonts w:hint="eastAsia" w:ascii="宋体" w:hAnsi="宋体" w:cs="Arial"/>
                <w:color w:val="000000"/>
                <w:kern w:val="0"/>
                <w:sz w:val="24"/>
              </w:rPr>
              <w:t>　</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公用经费合计</w:t>
            </w:r>
            <w:r>
              <w:rPr>
                <w:rFonts w:hint="eastAsia" w:ascii="宋体" w:hAnsi="宋体" w:cs="宋体"/>
                <w:color w:val="000000"/>
                <w:kern w:val="0"/>
                <w:sz w:val="24"/>
                <w:lang w:val="en-US" w:eastAsia="zh-CN"/>
              </w:rPr>
              <w:t xml:space="preserve">        132.68</w:t>
            </w:r>
          </w:p>
        </w:tc>
      </w:tr>
    </w:tbl>
    <w:p>
      <w:pPr>
        <w:snapToGrid w:val="0"/>
        <w:spacing w:line="336" w:lineRule="auto"/>
        <w:rPr>
          <w:rFonts w:ascii="仿宋_GB2312" w:eastAsia="仿宋_GB2312"/>
          <w:sz w:val="28"/>
          <w:szCs w:val="28"/>
        </w:rPr>
      </w:pPr>
      <w:r>
        <w:rPr>
          <w:rFonts w:hint="eastAsia" w:ascii="仿宋_GB2312" w:eastAsia="仿宋_GB2312"/>
          <w:sz w:val="28"/>
          <w:szCs w:val="28"/>
        </w:rPr>
        <w:t>注：本表反映部门本年度一般公共预算财政拨款基本支出明细情况。有关填表说明：</w:t>
      </w:r>
    </w:p>
    <w:p>
      <w:pPr>
        <w:snapToGrid w:val="0"/>
        <w:spacing w:line="336" w:lineRule="auto"/>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napToGrid w:val="0"/>
        <w:spacing w:line="336" w:lineRule="auto"/>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本表经济分类科目填列到款级支出科目，没有发生数的支出科目不用填列。</w:t>
      </w:r>
    </w:p>
    <w:p>
      <w:pPr>
        <w:snapToGrid w:val="0"/>
        <w:spacing w:line="336" w:lineRule="auto"/>
        <w:ind w:firstLine="523" w:firstLineChars="187"/>
        <w:rPr>
          <w:rFonts w:ascii="仿宋_GB2312"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此表没有发生数据的，在合计行填“0”，并在该表下方附简要说明。</w:t>
      </w:r>
    </w:p>
    <w:p>
      <w:pPr>
        <w:snapToGrid w:val="0"/>
        <w:spacing w:line="336" w:lineRule="auto"/>
        <w:ind w:firstLine="560" w:firstLineChars="200"/>
        <w:rPr>
          <w:rFonts w:ascii="仿宋_GB2312" w:eastAsia="仿宋_GB2312"/>
          <w:sz w:val="28"/>
          <w:szCs w:val="28"/>
        </w:rPr>
      </w:pPr>
      <w:r>
        <w:rPr>
          <w:rFonts w:hint="eastAsia" w:ascii="仿宋_GB2312" w:eastAsia="仿宋_GB2312"/>
          <w:sz w:val="28"/>
          <w:szCs w:val="28"/>
        </w:rPr>
        <w:t>（4）该表数据来源于部门决算报表中的《一般公共预算财政拨款基本支出决算明细表》（财决08-1表）。</w:t>
      </w:r>
    </w:p>
    <w:p>
      <w:pPr>
        <w:spacing w:line="288" w:lineRule="auto"/>
        <w:rPr>
          <w:rFonts w:ascii="仿宋_GB2312" w:eastAsia="仿宋_GB2312"/>
          <w:b/>
          <w:sz w:val="32"/>
          <w:szCs w:val="32"/>
        </w:rPr>
      </w:pPr>
    </w:p>
    <w:tbl>
      <w:tblPr>
        <w:tblStyle w:val="6"/>
        <w:tblW w:w="9215" w:type="dxa"/>
        <w:tblInd w:w="-176" w:type="dxa"/>
        <w:tblLayout w:type="fixed"/>
        <w:tblCellMar>
          <w:top w:w="0" w:type="dxa"/>
          <w:left w:w="108" w:type="dxa"/>
          <w:bottom w:w="0" w:type="dxa"/>
          <w:right w:w="108" w:type="dxa"/>
        </w:tblCellMar>
      </w:tblPr>
      <w:tblGrid>
        <w:gridCol w:w="269"/>
        <w:gridCol w:w="532"/>
        <w:gridCol w:w="151"/>
        <w:gridCol w:w="373"/>
        <w:gridCol w:w="353"/>
        <w:gridCol w:w="719"/>
        <w:gridCol w:w="722"/>
        <w:gridCol w:w="704"/>
        <w:gridCol w:w="289"/>
        <w:gridCol w:w="515"/>
        <w:gridCol w:w="529"/>
        <w:gridCol w:w="166"/>
        <w:gridCol w:w="801"/>
        <w:gridCol w:w="32"/>
        <w:gridCol w:w="742"/>
        <w:gridCol w:w="58"/>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1"/>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gridSpan w:val="3"/>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1056" w:type="dxa"/>
            <w:gridSpan w:val="3"/>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gridSpan w:val="3"/>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广州海珠（大埔）产业转移工业园管委会</w:t>
            </w:r>
            <w:r>
              <w:rPr>
                <w:rFonts w:hint="eastAsia" w:ascii="宋体" w:hAnsi="宋体" w:cs="宋体"/>
                <w:kern w:val="0"/>
                <w:sz w:val="20"/>
                <w:szCs w:val="20"/>
              </w:rPr>
              <w:t>　</w:t>
            </w:r>
          </w:p>
        </w:tc>
        <w:tc>
          <w:tcPr>
            <w:tcW w:w="993"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0"/>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2016</w:t>
            </w:r>
            <w:r>
              <w:rPr>
                <w:rFonts w:hint="eastAsia" w:ascii="宋体" w:hAnsi="宋体" w:cs="宋体"/>
                <w:kern w:val="0"/>
                <w:sz w:val="22"/>
                <w:szCs w:val="22"/>
              </w:rPr>
              <w:t>年度预算数</w:t>
            </w:r>
          </w:p>
        </w:tc>
        <w:tc>
          <w:tcPr>
            <w:tcW w:w="4588"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2016</w:t>
            </w:r>
            <w:r>
              <w:rPr>
                <w:rFonts w:hint="eastAsia" w:ascii="宋体" w:hAnsi="宋体" w:cs="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77"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14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695"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3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204"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8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2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95"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83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7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2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9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83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7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7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2.8</w:t>
            </w:r>
          </w:p>
        </w:tc>
        <w:tc>
          <w:tcPr>
            <w:tcW w:w="877" w:type="dxa"/>
            <w:gridSpan w:val="3"/>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19"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22"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04"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804"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2.8</w:t>
            </w:r>
          </w:p>
        </w:tc>
        <w:tc>
          <w:tcPr>
            <w:tcW w:w="695" w:type="dxa"/>
            <w:gridSpan w:val="2"/>
            <w:tcBorders>
              <w:top w:val="nil"/>
              <w:left w:val="nil"/>
              <w:bottom w:val="single" w:color="auto" w:sz="8"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2.04</w:t>
            </w:r>
          </w:p>
        </w:tc>
        <w:tc>
          <w:tcPr>
            <w:tcW w:w="833" w:type="dxa"/>
            <w:gridSpan w:val="2"/>
            <w:tcBorders>
              <w:top w:val="nil"/>
              <w:left w:val="nil"/>
              <w:bottom w:val="single" w:color="auto" w:sz="8"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0.00</w:t>
            </w:r>
          </w:p>
        </w:tc>
        <w:tc>
          <w:tcPr>
            <w:tcW w:w="742" w:type="dxa"/>
            <w:tcBorders>
              <w:top w:val="nil"/>
              <w:left w:val="nil"/>
              <w:bottom w:val="single" w:color="auto" w:sz="8"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0.00</w:t>
            </w:r>
          </w:p>
        </w:tc>
        <w:tc>
          <w:tcPr>
            <w:tcW w:w="721" w:type="dxa"/>
            <w:gridSpan w:val="2"/>
            <w:tcBorders>
              <w:top w:val="nil"/>
              <w:left w:val="nil"/>
              <w:bottom w:val="single" w:color="auto" w:sz="8"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0.00</w:t>
            </w:r>
          </w:p>
        </w:tc>
        <w:tc>
          <w:tcPr>
            <w:tcW w:w="741" w:type="dxa"/>
            <w:gridSpan w:val="2"/>
            <w:tcBorders>
              <w:top w:val="nil"/>
              <w:left w:val="nil"/>
              <w:bottom w:val="single" w:color="auto" w:sz="8" w:space="0"/>
              <w:right w:val="nil"/>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0.00</w:t>
            </w:r>
          </w:p>
        </w:tc>
        <w:tc>
          <w:tcPr>
            <w:tcW w:w="856" w:type="dxa"/>
            <w:gridSpan w:val="2"/>
            <w:tcBorders>
              <w:top w:val="nil"/>
              <w:left w:val="single" w:color="auto" w:sz="4" w:space="0"/>
              <w:bottom w:val="single" w:color="auto" w:sz="8" w:space="0"/>
              <w:right w:val="single" w:color="auto" w:sz="8"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2.04</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注：本表反映部门本年度财政拨款“三公”经费支出情况。有关填表说明：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（1）本表数据填列数据以“万元”为金额单位，保留两位小数。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xx年预算数为“三公”年初预算数，决算数包括当年财政拨款预算和以前年度结转资金安排的实际支出。</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（3）1栏=（2+3+6）栏，3栏=（4+5）栏。7栏=（8+9+12）栏。9栏=（10+11）栏。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（4）“三公”数据合计为零的，在合计栏填列“0”，并在决算情况说明中予以说明。</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tbl>
      <w:tblPr>
        <w:tblStyle w:val="6"/>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tblPrEx>
          <w:tblLayout w:type="fixed"/>
          <w:tblCellMar>
            <w:top w:w="0" w:type="dxa"/>
            <w:left w:w="108" w:type="dxa"/>
            <w:bottom w:w="0" w:type="dxa"/>
            <w:right w:w="108" w:type="dxa"/>
          </w:tblCellMar>
        </w:tblPrEx>
        <w:trPr>
          <w:trHeight w:val="222" w:hRule="atLeast"/>
        </w:trPr>
        <w:tc>
          <w:tcPr>
            <w:tcW w:w="68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广州海珠（大埔）产业转移工业园管委会</w:t>
            </w:r>
            <w:bookmarkStart w:id="0" w:name="_GoBack"/>
            <w:bookmarkEnd w:id="0"/>
            <w:r>
              <w:rPr>
                <w:rFonts w:hint="eastAsia" w:ascii="宋体" w:hAnsi="宋体" w:cs="宋体"/>
                <w:kern w:val="0"/>
                <w:sz w:val="20"/>
                <w:szCs w:val="20"/>
              </w:rPr>
              <w:t>　</w:t>
            </w:r>
          </w:p>
        </w:tc>
        <w:tc>
          <w:tcPr>
            <w:tcW w:w="993"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993"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城乡社区支出　</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城市公用事业附加及对应专项债务收入安排的支出</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2120901</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城市公共设施</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10.00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w:t>
            </w:r>
          </w:p>
        </w:tc>
        <w:tc>
          <w:tcPr>
            <w:tcW w:w="179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vAlign w:val="center"/>
          </w:tcPr>
          <w:p>
            <w:pPr>
              <w:widowControl/>
              <w:rPr>
                <w:rFonts w:ascii="宋体" w:hAnsi="宋体" w:cs="宋体"/>
                <w:kern w:val="0"/>
                <w:sz w:val="24"/>
              </w:rPr>
            </w:pPr>
          </w:p>
        </w:tc>
        <w:tc>
          <w:tcPr>
            <w:tcW w:w="179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993"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8"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注：本表反映部门本年度政府性基金预算财政拨款收支情况。有关填表说明：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（3）（1+2-3）栏=6栏，3栏=（4+5）栏。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ind w:firstLine="560" w:firstLineChars="200"/>
        <w:jc w:val="both"/>
        <w:rPr>
          <w:rFonts w:hint="eastAsia" w:ascii="仿宋_GB2312" w:eastAsia="仿宋_GB2312"/>
          <w:sz w:val="28"/>
          <w:szCs w:val="28"/>
        </w:rPr>
      </w:pPr>
      <w:r>
        <w:rPr>
          <w:rFonts w:hint="eastAsia" w:ascii="仿宋_GB2312" w:eastAsia="仿宋_GB2312"/>
          <w:sz w:val="28"/>
          <w:szCs w:val="28"/>
        </w:rPr>
        <w:t>（5）该表数据来源于部门决算报表中的《政府性基金预算财政拨款收入支出决算表》（财决09表）和《项目收入支出决算表》（财决06表）。</w:t>
      </w:r>
    </w:p>
    <w:p>
      <w:pPr>
        <w:rPr>
          <w:rFonts w:hint="eastAsia"/>
          <w:b/>
          <w:sz w:val="28"/>
          <w:szCs w:val="28"/>
        </w:rPr>
      </w:pPr>
    </w:p>
    <w:p>
      <w:pPr>
        <w:ind w:left="3464" w:leftChars="458" w:hanging="2502" w:hangingChars="890"/>
        <w:jc w:val="center"/>
        <w:rPr>
          <w:b/>
          <w:sz w:val="28"/>
          <w:szCs w:val="28"/>
        </w:rPr>
      </w:pPr>
    </w:p>
    <w:p>
      <w:pPr>
        <w:rPr>
          <w:sz w:val="28"/>
          <w:szCs w:val="28"/>
        </w:rPr>
      </w:pPr>
    </w:p>
    <w:p>
      <w:pPr>
        <w:jc w:val="center"/>
        <w:rPr>
          <w:rFonts w:hint="eastAsia"/>
          <w:b/>
          <w:sz w:val="28"/>
          <w:szCs w:val="28"/>
        </w:rPr>
      </w:pPr>
      <w:r>
        <w:rPr>
          <w:rFonts w:hint="eastAsia"/>
          <w:b/>
          <w:sz w:val="28"/>
          <w:szCs w:val="28"/>
        </w:rPr>
        <w:t>第三部分2016年广州海珠（大埔）产业转移工业园管委会部门决算情况说明</w:t>
      </w:r>
    </w:p>
    <w:p>
      <w:pPr>
        <w:spacing w:line="288"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一、201</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年度收入支出决算总体情况说明</w:t>
      </w:r>
    </w:p>
    <w:p>
      <w:pPr>
        <w:ind w:firstLine="560" w:firstLineChars="200"/>
        <w:rPr>
          <w:rFonts w:hint="eastAsia"/>
          <w:sz w:val="28"/>
          <w:szCs w:val="28"/>
        </w:rPr>
      </w:pPr>
      <w:r>
        <w:rPr>
          <w:rFonts w:hint="eastAsia"/>
          <w:sz w:val="28"/>
          <w:szCs w:val="28"/>
        </w:rPr>
        <w:t>支出决算总规模、各类支出决算规模及各类支出增减变化情况。</w:t>
      </w:r>
    </w:p>
    <w:p>
      <w:pPr>
        <w:spacing w:line="288" w:lineRule="auto"/>
        <w:rPr>
          <w:rFonts w:ascii="仿宋_GB2312" w:eastAsia="仿宋_GB2312"/>
          <w:b/>
          <w:sz w:val="32"/>
          <w:szCs w:val="32"/>
        </w:rPr>
      </w:pPr>
      <w:r>
        <w:rPr>
          <w:rFonts w:hint="eastAsia" w:ascii="仿宋_GB2312" w:eastAsia="仿宋_GB2312"/>
          <w:b/>
          <w:sz w:val="32"/>
          <w:szCs w:val="32"/>
        </w:rPr>
        <w:t>（一）年度收入总体情况</w:t>
      </w:r>
    </w:p>
    <w:p>
      <w:pPr>
        <w:ind w:firstLine="560" w:firstLineChars="200"/>
        <w:rPr>
          <w:rFonts w:hint="eastAsia"/>
          <w:sz w:val="28"/>
          <w:szCs w:val="28"/>
        </w:rPr>
      </w:pPr>
      <w:r>
        <w:rPr>
          <w:rFonts w:hint="eastAsia"/>
          <w:sz w:val="28"/>
          <w:szCs w:val="28"/>
          <w:lang w:eastAsia="zh-CN"/>
        </w:rPr>
        <w:t>广州海珠（大埔）产业转移工业园管委会</w:t>
      </w:r>
      <w:r>
        <w:rPr>
          <w:rFonts w:hint="eastAsia"/>
          <w:sz w:val="28"/>
          <w:szCs w:val="28"/>
        </w:rPr>
        <w:t>201</w:t>
      </w:r>
      <w:r>
        <w:rPr>
          <w:rFonts w:hint="eastAsia"/>
          <w:sz w:val="28"/>
          <w:szCs w:val="28"/>
          <w:lang w:val="en-US" w:eastAsia="zh-CN"/>
        </w:rPr>
        <w:t>6</w:t>
      </w:r>
      <w:r>
        <w:rPr>
          <w:rFonts w:hint="eastAsia"/>
          <w:sz w:val="28"/>
          <w:szCs w:val="28"/>
        </w:rPr>
        <w:t>年</w:t>
      </w:r>
      <w:r>
        <w:rPr>
          <w:rFonts w:hint="eastAsia"/>
          <w:sz w:val="28"/>
          <w:szCs w:val="28"/>
          <w:lang w:eastAsia="zh-CN"/>
        </w:rPr>
        <w:t>度</w:t>
      </w:r>
      <w:r>
        <w:rPr>
          <w:rFonts w:hint="eastAsia"/>
          <w:sz w:val="28"/>
          <w:szCs w:val="28"/>
        </w:rPr>
        <w:t>总收入</w:t>
      </w:r>
      <w:r>
        <w:rPr>
          <w:rFonts w:hint="eastAsia"/>
          <w:sz w:val="28"/>
          <w:szCs w:val="28"/>
          <w:lang w:val="en-US" w:eastAsia="zh-CN"/>
        </w:rPr>
        <w:t>3224.37</w:t>
      </w:r>
      <w:r>
        <w:rPr>
          <w:rFonts w:hint="eastAsia"/>
          <w:sz w:val="28"/>
          <w:szCs w:val="28"/>
        </w:rPr>
        <w:t>万元</w:t>
      </w:r>
      <w:r>
        <w:rPr>
          <w:rFonts w:hint="eastAsia"/>
          <w:sz w:val="28"/>
          <w:szCs w:val="28"/>
          <w:lang w:eastAsia="zh-CN"/>
        </w:rPr>
        <w:t>，其中本年收入</w:t>
      </w:r>
      <w:r>
        <w:rPr>
          <w:rFonts w:hint="eastAsia"/>
          <w:sz w:val="28"/>
          <w:szCs w:val="28"/>
          <w:lang w:val="en-US" w:eastAsia="zh-CN"/>
        </w:rPr>
        <w:t>3224.37万元。具体情况如下：</w:t>
      </w:r>
    </w:p>
    <w:p>
      <w:pPr>
        <w:spacing w:line="288" w:lineRule="auto"/>
        <w:ind w:firstLine="560" w:firstLineChars="200"/>
        <w:rPr>
          <w:rFonts w:ascii="仿宋_GB2312" w:eastAsia="仿宋_GB2312"/>
          <w:sz w:val="32"/>
          <w:szCs w:val="32"/>
        </w:rPr>
      </w:pPr>
      <w:r>
        <w:rPr>
          <w:rFonts w:hint="eastAsia"/>
          <w:sz w:val="28"/>
          <w:szCs w:val="28"/>
          <w:lang w:val="en-US" w:eastAsia="zh-CN"/>
        </w:rPr>
        <w:t>1、</w:t>
      </w:r>
      <w:r>
        <w:rPr>
          <w:rFonts w:hint="eastAsia"/>
          <w:sz w:val="28"/>
          <w:szCs w:val="28"/>
        </w:rPr>
        <w:t>财政拨款收入</w:t>
      </w:r>
      <w:r>
        <w:rPr>
          <w:rFonts w:hint="eastAsia"/>
          <w:sz w:val="28"/>
          <w:szCs w:val="28"/>
          <w:lang w:val="en-US" w:eastAsia="zh-CN"/>
        </w:rPr>
        <w:t>3201.57</w:t>
      </w:r>
      <w:r>
        <w:rPr>
          <w:rFonts w:hint="eastAsia"/>
          <w:sz w:val="28"/>
          <w:szCs w:val="28"/>
        </w:rPr>
        <w:t>万元</w:t>
      </w:r>
      <w:r>
        <w:rPr>
          <w:rFonts w:hint="eastAsia"/>
          <w:sz w:val="28"/>
          <w:szCs w:val="28"/>
          <w:lang w:eastAsia="zh-CN"/>
        </w:rPr>
        <w:t>，</w:t>
      </w:r>
      <w:r>
        <w:rPr>
          <w:rFonts w:hint="eastAsia" w:ascii="仿宋_GB2312" w:eastAsia="仿宋_GB2312"/>
          <w:sz w:val="32"/>
          <w:szCs w:val="32"/>
        </w:rPr>
        <w:t>比上年决算数增加</w:t>
      </w:r>
      <w:r>
        <w:rPr>
          <w:rFonts w:hint="eastAsia" w:ascii="仿宋_GB2312" w:eastAsia="仿宋_GB2312"/>
          <w:sz w:val="32"/>
          <w:szCs w:val="32"/>
          <w:lang w:val="en-US" w:eastAsia="zh-CN"/>
        </w:rPr>
        <w:t>3146.68</w:t>
      </w:r>
      <w:r>
        <w:rPr>
          <w:rFonts w:hint="eastAsia" w:ascii="仿宋_GB2312" w:eastAsia="仿宋_GB2312"/>
          <w:sz w:val="32"/>
          <w:szCs w:val="32"/>
        </w:rPr>
        <w:t>万元，增长</w:t>
      </w:r>
      <w:r>
        <w:rPr>
          <w:rFonts w:hint="eastAsia" w:ascii="仿宋_GB2312" w:eastAsia="仿宋_GB2312"/>
          <w:sz w:val="32"/>
          <w:szCs w:val="32"/>
          <w:lang w:val="en-US" w:eastAsia="zh-CN"/>
        </w:rPr>
        <w:t>57.32</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高陂工业园区正在建设中。</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上级补助收入</w:t>
      </w:r>
      <w:r>
        <w:rPr>
          <w:rFonts w:ascii="仿宋_GB2312" w:eastAsia="仿宋_GB2312"/>
          <w:sz w:val="32"/>
          <w:szCs w:val="32"/>
        </w:rPr>
        <w:t>0.00</w:t>
      </w:r>
      <w:r>
        <w:rPr>
          <w:rFonts w:hint="eastAsia" w:ascii="仿宋_GB2312" w:eastAsia="仿宋_GB2312"/>
          <w:sz w:val="32"/>
          <w:szCs w:val="32"/>
        </w:rPr>
        <w:t>万元，比上年决算数增加（减少）</w:t>
      </w:r>
      <w:r>
        <w:rPr>
          <w:rFonts w:ascii="仿宋_GB2312" w:eastAsia="仿宋_GB2312"/>
          <w:sz w:val="32"/>
          <w:szCs w:val="32"/>
        </w:rPr>
        <w:t>0.00</w:t>
      </w:r>
      <w:r>
        <w:rPr>
          <w:rFonts w:hint="eastAsia" w:ascii="仿宋_GB2312" w:eastAsia="仿宋_GB2312"/>
          <w:sz w:val="32"/>
          <w:szCs w:val="32"/>
        </w:rPr>
        <w:t>万元，增长（下降）</w:t>
      </w:r>
      <w:r>
        <w:rPr>
          <w:rFonts w:ascii="仿宋_GB2312" w:eastAsia="仿宋_GB2312"/>
          <w:sz w:val="32"/>
          <w:szCs w:val="32"/>
        </w:rPr>
        <w:t>0.00 %</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．事业收入</w:t>
      </w:r>
      <w:r>
        <w:rPr>
          <w:rFonts w:ascii="仿宋_GB2312" w:eastAsia="仿宋_GB2312"/>
          <w:sz w:val="32"/>
          <w:szCs w:val="32"/>
        </w:rPr>
        <w:t>0.00</w:t>
      </w:r>
      <w:r>
        <w:rPr>
          <w:rFonts w:hint="eastAsia" w:ascii="仿宋_GB2312" w:eastAsia="仿宋_GB2312"/>
          <w:sz w:val="32"/>
          <w:szCs w:val="32"/>
        </w:rPr>
        <w:t>万元，比上年决算数增加（减少）</w:t>
      </w:r>
      <w:r>
        <w:rPr>
          <w:rFonts w:ascii="仿宋_GB2312" w:eastAsia="仿宋_GB2312"/>
          <w:sz w:val="32"/>
          <w:szCs w:val="32"/>
        </w:rPr>
        <w:t>0.00</w:t>
      </w:r>
      <w:r>
        <w:rPr>
          <w:rFonts w:hint="eastAsia" w:ascii="仿宋_GB2312" w:eastAsia="仿宋_GB2312"/>
          <w:sz w:val="32"/>
          <w:szCs w:val="32"/>
        </w:rPr>
        <w:t>万元，增长（下降）</w:t>
      </w:r>
      <w:r>
        <w:rPr>
          <w:rFonts w:ascii="仿宋_GB2312" w:eastAsia="仿宋_GB2312"/>
          <w:sz w:val="32"/>
          <w:szCs w:val="32"/>
        </w:rPr>
        <w:t>0.00%</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．经营收入</w:t>
      </w:r>
      <w:r>
        <w:rPr>
          <w:rFonts w:ascii="仿宋_GB2312" w:eastAsia="仿宋_GB2312"/>
          <w:sz w:val="32"/>
          <w:szCs w:val="32"/>
        </w:rPr>
        <w:t>0.00</w:t>
      </w:r>
      <w:r>
        <w:rPr>
          <w:rFonts w:hint="eastAsia" w:ascii="仿宋_GB2312" w:eastAsia="仿宋_GB2312"/>
          <w:sz w:val="32"/>
          <w:szCs w:val="32"/>
        </w:rPr>
        <w:t>万元，比上年决算数增加（减少）</w:t>
      </w:r>
      <w:r>
        <w:rPr>
          <w:rFonts w:ascii="仿宋_GB2312" w:eastAsia="仿宋_GB2312"/>
          <w:sz w:val="32"/>
          <w:szCs w:val="32"/>
        </w:rPr>
        <w:t>0.00</w:t>
      </w:r>
      <w:r>
        <w:rPr>
          <w:rFonts w:hint="eastAsia" w:ascii="仿宋_GB2312" w:eastAsia="仿宋_GB2312"/>
          <w:sz w:val="32"/>
          <w:szCs w:val="32"/>
        </w:rPr>
        <w:t>万元，增长（下降）</w:t>
      </w:r>
      <w:r>
        <w:rPr>
          <w:rFonts w:ascii="仿宋_GB2312" w:eastAsia="仿宋_GB2312"/>
          <w:sz w:val="32"/>
          <w:szCs w:val="32"/>
        </w:rPr>
        <w:t>0.00%</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．其他收入</w:t>
      </w:r>
      <w:r>
        <w:rPr>
          <w:rFonts w:hint="eastAsia" w:ascii="仿宋_GB2312" w:eastAsia="仿宋_GB2312"/>
          <w:sz w:val="32"/>
          <w:szCs w:val="32"/>
          <w:lang w:val="en-US" w:eastAsia="zh-CN"/>
        </w:rPr>
        <w:t>22.80</w:t>
      </w:r>
      <w:r>
        <w:rPr>
          <w:rFonts w:hint="eastAsia" w:ascii="仿宋_GB2312" w:eastAsia="仿宋_GB2312"/>
          <w:sz w:val="32"/>
          <w:szCs w:val="32"/>
        </w:rPr>
        <w:t>万元，比上年决算数减少</w:t>
      </w:r>
      <w:r>
        <w:rPr>
          <w:rFonts w:hint="eastAsia" w:ascii="仿宋_GB2312" w:eastAsia="仿宋_GB2312"/>
          <w:sz w:val="32"/>
          <w:szCs w:val="32"/>
          <w:lang w:val="en-US" w:eastAsia="zh-CN"/>
        </w:rPr>
        <w:t>4.7</w:t>
      </w:r>
      <w:r>
        <w:rPr>
          <w:rFonts w:hint="eastAsia" w:ascii="仿宋_GB2312" w:eastAsia="仿宋_GB2312"/>
          <w:sz w:val="32"/>
          <w:szCs w:val="32"/>
        </w:rPr>
        <w:t>万元，下降</w:t>
      </w:r>
      <w:r>
        <w:rPr>
          <w:rFonts w:hint="eastAsia" w:ascii="仿宋_GB2312" w:eastAsia="仿宋_GB2312"/>
          <w:sz w:val="32"/>
          <w:szCs w:val="32"/>
          <w:lang w:val="en-US" w:eastAsia="zh-CN"/>
        </w:rPr>
        <w:t>17</w:t>
      </w:r>
      <w:r>
        <w:rPr>
          <w:rFonts w:ascii="仿宋_GB2312" w:eastAsia="仿宋_GB2312"/>
          <w:sz w:val="32"/>
          <w:szCs w:val="32"/>
        </w:rPr>
        <w:t>.00%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ind w:firstLine="560" w:firstLineChars="200"/>
        <w:rPr>
          <w:rFonts w:hint="eastAsia"/>
          <w:sz w:val="28"/>
          <w:szCs w:val="28"/>
          <w:lang w:eastAsia="zh-CN"/>
        </w:rPr>
      </w:pPr>
      <w:r>
        <w:rPr>
          <w:rFonts w:hint="eastAsia"/>
          <w:sz w:val="28"/>
          <w:szCs w:val="28"/>
          <w:lang w:eastAsia="zh-CN"/>
        </w:rPr>
        <w:t>广州海珠（大埔）产业转移工业园管委会201</w:t>
      </w:r>
      <w:r>
        <w:rPr>
          <w:rFonts w:hint="eastAsia"/>
          <w:sz w:val="28"/>
          <w:szCs w:val="28"/>
          <w:lang w:val="en-US" w:eastAsia="zh-CN"/>
        </w:rPr>
        <w:t>6</w:t>
      </w:r>
      <w:r>
        <w:rPr>
          <w:rFonts w:hint="eastAsia"/>
          <w:sz w:val="28"/>
          <w:szCs w:val="28"/>
          <w:lang w:eastAsia="zh-CN"/>
        </w:rPr>
        <w:t>年度总支出</w:t>
      </w:r>
      <w:r>
        <w:rPr>
          <w:rFonts w:hint="eastAsia"/>
          <w:sz w:val="28"/>
          <w:szCs w:val="28"/>
          <w:lang w:val="en-US" w:eastAsia="zh-CN"/>
        </w:rPr>
        <w:t>3224.37</w:t>
      </w:r>
      <w:r>
        <w:rPr>
          <w:rFonts w:hint="eastAsia"/>
          <w:sz w:val="28"/>
          <w:szCs w:val="28"/>
          <w:lang w:eastAsia="zh-CN"/>
        </w:rPr>
        <w:t>万元，其中本年支出</w:t>
      </w:r>
      <w:r>
        <w:rPr>
          <w:rFonts w:hint="eastAsia"/>
          <w:sz w:val="28"/>
          <w:szCs w:val="28"/>
          <w:lang w:val="en-US" w:eastAsia="zh-CN"/>
        </w:rPr>
        <w:t>3224.37万元。具体情况如下：</w:t>
      </w:r>
    </w:p>
    <w:p>
      <w:pPr>
        <w:spacing w:line="640" w:lineRule="exact"/>
        <w:ind w:firstLine="645"/>
        <w:rPr>
          <w:rFonts w:ascii="仿宋_GB2312" w:eastAsia="仿宋_GB2312"/>
          <w:sz w:val="32"/>
          <w:szCs w:val="32"/>
        </w:rPr>
      </w:pPr>
      <w:r>
        <w:rPr>
          <w:rFonts w:hint="eastAsia"/>
          <w:sz w:val="28"/>
          <w:szCs w:val="28"/>
          <w:lang w:eastAsia="zh-CN"/>
        </w:rPr>
        <w:t>一般公共服务（类）支出</w:t>
      </w:r>
      <w:r>
        <w:rPr>
          <w:rFonts w:hint="eastAsia"/>
          <w:sz w:val="28"/>
          <w:szCs w:val="28"/>
          <w:lang w:val="en-US" w:eastAsia="zh-CN"/>
        </w:rPr>
        <w:t>188.99</w:t>
      </w:r>
      <w:r>
        <w:rPr>
          <w:rFonts w:hint="eastAsia"/>
          <w:sz w:val="28"/>
          <w:szCs w:val="28"/>
          <w:lang w:eastAsia="zh-CN"/>
        </w:rPr>
        <w:t>万元，</w:t>
      </w:r>
      <w:r>
        <w:rPr>
          <w:rFonts w:hint="eastAsia" w:ascii="仿宋_GB2312" w:eastAsia="仿宋_GB2312"/>
          <w:sz w:val="32"/>
          <w:szCs w:val="32"/>
        </w:rPr>
        <w:t>主要用于财政拨款支出中</w:t>
      </w:r>
      <w:r>
        <w:rPr>
          <w:rFonts w:hint="eastAsia" w:ascii="仿宋_GB2312" w:eastAsia="仿宋_GB2312"/>
          <w:sz w:val="32"/>
          <w:szCs w:val="32"/>
          <w:lang w:eastAsia="zh-CN"/>
        </w:rPr>
        <w:t>。</w:t>
      </w:r>
      <w:r>
        <w:rPr>
          <w:rFonts w:hint="eastAsia" w:ascii="仿宋_GB2312" w:eastAsia="仿宋_GB2312"/>
          <w:sz w:val="32"/>
          <w:szCs w:val="32"/>
        </w:rPr>
        <w:t>基本支出</w:t>
      </w:r>
      <w:r>
        <w:rPr>
          <w:rFonts w:hint="eastAsia" w:ascii="仿宋_GB2312" w:eastAsia="仿宋_GB2312"/>
          <w:sz w:val="32"/>
          <w:szCs w:val="32"/>
          <w:lang w:val="en-US" w:eastAsia="zh-CN"/>
        </w:rPr>
        <w:t>214.37</w:t>
      </w:r>
      <w:r>
        <w:rPr>
          <w:rFonts w:hint="eastAsia" w:ascii="仿宋_GB2312" w:eastAsia="仿宋_GB2312"/>
          <w:sz w:val="32"/>
          <w:szCs w:val="32"/>
        </w:rPr>
        <w:t>万元，占本年度财政拨款支出的</w:t>
      </w:r>
      <w:r>
        <w:rPr>
          <w:rFonts w:hint="eastAsia" w:ascii="仿宋_GB2312" w:eastAsia="仿宋_GB2312"/>
          <w:sz w:val="32"/>
          <w:szCs w:val="32"/>
          <w:lang w:val="en-US" w:eastAsia="zh-CN"/>
        </w:rPr>
        <w:t>6.6</w:t>
      </w:r>
      <w:r>
        <w:rPr>
          <w:rFonts w:ascii="仿宋_GB2312" w:eastAsia="仿宋_GB2312"/>
          <w:sz w:val="32"/>
          <w:szCs w:val="32"/>
        </w:rPr>
        <w:t>%</w:t>
      </w:r>
      <w:r>
        <w:rPr>
          <w:rFonts w:hint="eastAsia" w:ascii="仿宋_GB2312" w:eastAsia="仿宋_GB2312"/>
          <w:sz w:val="32"/>
          <w:szCs w:val="32"/>
        </w:rPr>
        <w:t>，其中工资福利支出</w:t>
      </w:r>
      <w:r>
        <w:rPr>
          <w:rFonts w:hint="eastAsia" w:ascii="仿宋_GB2312" w:eastAsia="仿宋_GB2312"/>
          <w:sz w:val="32"/>
          <w:szCs w:val="32"/>
          <w:lang w:val="en-US" w:eastAsia="zh-CN"/>
        </w:rPr>
        <w:t>49.74</w:t>
      </w:r>
      <w:r>
        <w:rPr>
          <w:rFonts w:hint="eastAsia" w:ascii="仿宋_GB2312" w:eastAsia="仿宋_GB2312"/>
          <w:sz w:val="32"/>
          <w:szCs w:val="32"/>
        </w:rPr>
        <w:t>万元，对个人和家庭补助</w:t>
      </w:r>
      <w:r>
        <w:rPr>
          <w:rFonts w:hint="eastAsia" w:ascii="仿宋_GB2312" w:eastAsia="仿宋_GB2312"/>
          <w:sz w:val="32"/>
          <w:szCs w:val="32"/>
          <w:lang w:val="en-US" w:eastAsia="zh-CN"/>
        </w:rPr>
        <w:t>9.15</w:t>
      </w:r>
      <w:r>
        <w:rPr>
          <w:rFonts w:hint="eastAsia" w:ascii="仿宋_GB2312" w:eastAsia="仿宋_GB2312"/>
          <w:sz w:val="32"/>
          <w:szCs w:val="32"/>
        </w:rPr>
        <w:t>万元，商品和服务支出</w:t>
      </w:r>
      <w:r>
        <w:rPr>
          <w:rFonts w:hint="eastAsia" w:ascii="仿宋_GB2312" w:eastAsia="仿宋_GB2312"/>
          <w:sz w:val="32"/>
          <w:szCs w:val="32"/>
          <w:lang w:val="en-US" w:eastAsia="zh-CN"/>
        </w:rPr>
        <w:t>102.42</w:t>
      </w:r>
      <w:r>
        <w:rPr>
          <w:rFonts w:hint="eastAsia" w:ascii="仿宋_GB2312" w:eastAsia="仿宋_GB2312"/>
          <w:sz w:val="32"/>
          <w:szCs w:val="32"/>
        </w:rPr>
        <w:t>万元；项目支出</w:t>
      </w:r>
      <w:r>
        <w:rPr>
          <w:rFonts w:hint="eastAsia" w:ascii="仿宋_GB2312" w:eastAsia="仿宋_GB2312"/>
          <w:sz w:val="32"/>
          <w:szCs w:val="32"/>
          <w:lang w:val="en-US" w:eastAsia="zh-CN"/>
        </w:rPr>
        <w:t>3010.00</w:t>
      </w:r>
      <w:r>
        <w:rPr>
          <w:rFonts w:hint="eastAsia" w:ascii="仿宋_GB2312" w:eastAsia="仿宋_GB2312"/>
          <w:sz w:val="32"/>
          <w:szCs w:val="32"/>
        </w:rPr>
        <w:t>万元，占本年度财政拨款支出的</w:t>
      </w:r>
      <w:r>
        <w:rPr>
          <w:rFonts w:hint="eastAsia" w:ascii="仿宋_GB2312" w:eastAsia="仿宋_GB2312"/>
          <w:sz w:val="32"/>
          <w:szCs w:val="32"/>
          <w:lang w:val="en-US" w:eastAsia="zh-CN"/>
        </w:rPr>
        <w:t>93.35</w:t>
      </w:r>
      <w:r>
        <w:rPr>
          <w:rFonts w:ascii="仿宋_GB2312" w:eastAsia="仿宋_GB2312"/>
          <w:sz w:val="32"/>
          <w:szCs w:val="32"/>
        </w:rPr>
        <w:t>%</w:t>
      </w:r>
      <w:r>
        <w:rPr>
          <w:rFonts w:hint="eastAsia" w:ascii="仿宋_GB2312" w:eastAsia="仿宋_GB2312"/>
          <w:sz w:val="32"/>
          <w:szCs w:val="32"/>
        </w:rPr>
        <w:t>，比上年决算数增加</w:t>
      </w:r>
      <w:r>
        <w:rPr>
          <w:rFonts w:hint="eastAsia" w:ascii="仿宋_GB2312" w:eastAsia="仿宋_GB2312"/>
          <w:sz w:val="32"/>
          <w:szCs w:val="32"/>
          <w:lang w:val="en-US" w:eastAsia="zh-CN"/>
        </w:rPr>
        <w:t>3010</w:t>
      </w:r>
      <w:r>
        <w:rPr>
          <w:rFonts w:ascii="仿宋_GB2312" w:eastAsia="仿宋_GB2312"/>
          <w:sz w:val="32"/>
          <w:szCs w:val="32"/>
        </w:rPr>
        <w:t>.00</w:t>
      </w:r>
      <w:r>
        <w:rPr>
          <w:rFonts w:hint="eastAsia" w:ascii="仿宋_GB2312" w:eastAsia="仿宋_GB2312"/>
          <w:sz w:val="32"/>
          <w:szCs w:val="32"/>
        </w:rPr>
        <w:t>万元，增长（下降）</w:t>
      </w:r>
      <w:r>
        <w:rPr>
          <w:rFonts w:hint="eastAsia" w:ascii="仿宋_GB2312" w:eastAsia="仿宋_GB2312"/>
          <w:sz w:val="32"/>
          <w:szCs w:val="32"/>
          <w:lang w:val="en-US" w:eastAsia="zh-CN"/>
        </w:rPr>
        <w:t>10</w:t>
      </w:r>
      <w:r>
        <w:rPr>
          <w:rFonts w:ascii="仿宋_GB2312" w:eastAsia="仿宋_GB2312"/>
          <w:sz w:val="32"/>
          <w:szCs w:val="32"/>
        </w:rPr>
        <w:t>0.00%</w:t>
      </w:r>
      <w:r>
        <w:rPr>
          <w:rFonts w:hint="eastAsia" w:ascii="仿宋_GB2312" w:eastAsia="仿宋_GB2312"/>
          <w:sz w:val="32"/>
          <w:szCs w:val="32"/>
        </w:rPr>
        <w:t>，主要原因是</w:t>
      </w:r>
      <w:r>
        <w:rPr>
          <w:rFonts w:hint="eastAsia" w:ascii="仿宋_GB2312" w:eastAsia="仿宋_GB2312"/>
          <w:sz w:val="32"/>
          <w:szCs w:val="32"/>
          <w:lang w:eastAsia="zh-CN"/>
        </w:rPr>
        <w:t>高陂园区正在建设。</w:t>
      </w:r>
    </w:p>
    <w:p>
      <w:pPr>
        <w:spacing w:line="288" w:lineRule="auto"/>
        <w:ind w:firstLine="643" w:firstLineChars="200"/>
        <w:rPr>
          <w:rFonts w:ascii="仿宋_GB2312" w:eastAsia="仿宋_GB2312"/>
          <w:b/>
          <w:color w:val="auto"/>
          <w:sz w:val="32"/>
          <w:szCs w:val="32"/>
        </w:rPr>
      </w:pPr>
      <w:r>
        <w:rPr>
          <w:rFonts w:hint="eastAsia" w:ascii="仿宋_GB2312" w:eastAsia="仿宋_GB2312"/>
          <w:b/>
          <w:color w:val="auto"/>
          <w:sz w:val="32"/>
          <w:szCs w:val="32"/>
        </w:rPr>
        <w:t>二、</w:t>
      </w:r>
      <w:r>
        <w:rPr>
          <w:rFonts w:ascii="仿宋_GB2312" w:eastAsia="仿宋_GB2312"/>
          <w:b/>
          <w:color w:val="auto"/>
          <w:sz w:val="32"/>
          <w:szCs w:val="32"/>
        </w:rPr>
        <w:t>201</w:t>
      </w:r>
      <w:r>
        <w:rPr>
          <w:rFonts w:hint="eastAsia" w:ascii="仿宋_GB2312" w:eastAsia="仿宋_GB2312"/>
          <w:b/>
          <w:color w:val="auto"/>
          <w:sz w:val="32"/>
          <w:szCs w:val="32"/>
          <w:lang w:val="en-US" w:eastAsia="zh-CN"/>
        </w:rPr>
        <w:t>6</w:t>
      </w:r>
      <w:r>
        <w:rPr>
          <w:rFonts w:hint="eastAsia" w:ascii="仿宋_GB2312" w:eastAsia="仿宋_GB2312"/>
          <w:b/>
          <w:color w:val="auto"/>
          <w:sz w:val="32"/>
          <w:szCs w:val="32"/>
        </w:rPr>
        <w:t>年度财政拨款收入支出总表说明</w:t>
      </w:r>
    </w:p>
    <w:p>
      <w:pPr>
        <w:spacing w:line="288" w:lineRule="auto"/>
        <w:ind w:firstLine="643" w:firstLineChars="200"/>
        <w:rPr>
          <w:rFonts w:ascii="仿宋_GB2312" w:eastAsia="仿宋_GB2312"/>
          <w:b/>
          <w:color w:val="auto"/>
          <w:sz w:val="32"/>
          <w:szCs w:val="32"/>
        </w:rPr>
      </w:pPr>
      <w:r>
        <w:rPr>
          <w:rFonts w:hint="eastAsia" w:ascii="仿宋_GB2312" w:eastAsia="仿宋_GB2312"/>
          <w:b/>
          <w:color w:val="auto"/>
          <w:sz w:val="32"/>
          <w:szCs w:val="32"/>
        </w:rPr>
        <w:t>（一）</w:t>
      </w:r>
      <w:r>
        <w:rPr>
          <w:rFonts w:ascii="仿宋_GB2312" w:eastAsia="仿宋_GB2312"/>
          <w:b/>
          <w:color w:val="auto"/>
          <w:sz w:val="32"/>
          <w:szCs w:val="32"/>
        </w:rPr>
        <w:t>201</w:t>
      </w:r>
      <w:r>
        <w:rPr>
          <w:rFonts w:hint="eastAsia" w:ascii="仿宋_GB2312" w:eastAsia="仿宋_GB2312"/>
          <w:b/>
          <w:color w:val="auto"/>
          <w:sz w:val="32"/>
          <w:szCs w:val="32"/>
          <w:lang w:val="en-US" w:eastAsia="zh-CN"/>
        </w:rPr>
        <w:t>6</w:t>
      </w:r>
      <w:r>
        <w:rPr>
          <w:rFonts w:hint="eastAsia" w:ascii="仿宋_GB2312" w:eastAsia="仿宋_GB2312"/>
          <w:b/>
          <w:color w:val="auto"/>
          <w:sz w:val="32"/>
          <w:szCs w:val="32"/>
        </w:rPr>
        <w:t>年度财政拨款收入说明</w:t>
      </w:r>
    </w:p>
    <w:p>
      <w:pPr>
        <w:spacing w:line="640" w:lineRule="exact"/>
        <w:ind w:firstLine="645"/>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广州海珠（大埔）产业转移工业园管委会</w:t>
      </w:r>
      <w:r>
        <w:rPr>
          <w:rFonts w:ascii="仿宋_GB2312" w:eastAsia="仿宋_GB2312"/>
          <w:color w:val="auto"/>
          <w:sz w:val="32"/>
          <w:szCs w:val="32"/>
        </w:rPr>
        <w:t>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年度财政拨款收入合计</w:t>
      </w:r>
      <w:r>
        <w:rPr>
          <w:rFonts w:hint="eastAsia" w:ascii="仿宋_GB2312" w:eastAsia="仿宋_GB2312"/>
          <w:color w:val="auto"/>
          <w:sz w:val="32"/>
          <w:szCs w:val="32"/>
          <w:lang w:val="en-US" w:eastAsia="zh-CN"/>
        </w:rPr>
        <w:t>3201.57</w:t>
      </w:r>
      <w:r>
        <w:rPr>
          <w:rFonts w:hint="eastAsia" w:ascii="仿宋_GB2312" w:eastAsia="仿宋_GB2312"/>
          <w:color w:val="auto"/>
          <w:sz w:val="32"/>
          <w:szCs w:val="32"/>
        </w:rPr>
        <w:t>万元。</w:t>
      </w:r>
      <w:r>
        <w:rPr>
          <w:rFonts w:hint="eastAsia" w:ascii="仿宋_GB2312" w:eastAsia="仿宋_GB2312"/>
          <w:color w:val="auto"/>
          <w:sz w:val="32"/>
          <w:szCs w:val="32"/>
          <w:lang w:eastAsia="zh-CN"/>
        </w:rPr>
        <w:t>其他收入</w:t>
      </w:r>
      <w:r>
        <w:rPr>
          <w:rFonts w:hint="eastAsia" w:ascii="仿宋_GB2312" w:eastAsia="仿宋_GB2312"/>
          <w:color w:val="auto"/>
          <w:sz w:val="32"/>
          <w:szCs w:val="32"/>
          <w:lang w:val="en-US" w:eastAsia="zh-CN"/>
        </w:rPr>
        <w:t>22.80万元。</w:t>
      </w:r>
      <w:r>
        <w:rPr>
          <w:rFonts w:hint="eastAsia" w:ascii="仿宋_GB2312" w:eastAsia="仿宋_GB2312"/>
          <w:color w:val="auto"/>
          <w:sz w:val="32"/>
          <w:szCs w:val="32"/>
        </w:rPr>
        <w:t>其中：一般公共预算财政拨款收入</w:t>
      </w:r>
      <w:r>
        <w:rPr>
          <w:rFonts w:hint="eastAsia" w:ascii="仿宋_GB2312" w:eastAsia="仿宋_GB2312"/>
          <w:color w:val="auto"/>
          <w:sz w:val="32"/>
          <w:szCs w:val="32"/>
          <w:lang w:val="en-US" w:eastAsia="zh-CN"/>
        </w:rPr>
        <w:t>3201.57</w:t>
      </w:r>
      <w:r>
        <w:rPr>
          <w:rFonts w:hint="eastAsia" w:ascii="仿宋_GB2312" w:eastAsia="仿宋_GB2312"/>
          <w:color w:val="auto"/>
          <w:sz w:val="32"/>
          <w:szCs w:val="32"/>
        </w:rPr>
        <w:t>万元，比年初预算数增加</w:t>
      </w:r>
      <w:r>
        <w:rPr>
          <w:rFonts w:hint="eastAsia" w:ascii="仿宋_GB2312" w:eastAsia="仿宋_GB2312"/>
          <w:color w:val="auto"/>
          <w:sz w:val="32"/>
          <w:szCs w:val="32"/>
          <w:lang w:val="en-US" w:eastAsia="zh-CN"/>
        </w:rPr>
        <w:t>3130.57</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44.00</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高陂园区正在建设。</w:t>
      </w:r>
    </w:p>
    <w:p>
      <w:pPr>
        <w:spacing w:line="640" w:lineRule="exact"/>
        <w:ind w:firstLine="645"/>
        <w:rPr>
          <w:rFonts w:ascii="仿宋_GB2312" w:eastAsia="仿宋_GB2312"/>
          <w:b/>
          <w:color w:val="auto"/>
          <w:sz w:val="32"/>
          <w:szCs w:val="32"/>
        </w:rPr>
      </w:pPr>
      <w:r>
        <w:rPr>
          <w:rFonts w:hint="eastAsia" w:ascii="仿宋_GB2312" w:eastAsia="仿宋_GB2312"/>
          <w:b/>
          <w:color w:val="auto"/>
          <w:sz w:val="32"/>
          <w:szCs w:val="32"/>
        </w:rPr>
        <w:t>（二）</w:t>
      </w:r>
      <w:r>
        <w:rPr>
          <w:rFonts w:ascii="仿宋_GB2312" w:eastAsia="仿宋_GB2312"/>
          <w:b/>
          <w:color w:val="auto"/>
          <w:sz w:val="32"/>
          <w:szCs w:val="32"/>
        </w:rPr>
        <w:t>201</w:t>
      </w:r>
      <w:r>
        <w:rPr>
          <w:rFonts w:hint="eastAsia" w:ascii="仿宋_GB2312" w:eastAsia="仿宋_GB2312"/>
          <w:b/>
          <w:color w:val="auto"/>
          <w:sz w:val="32"/>
          <w:szCs w:val="32"/>
          <w:lang w:val="en-US" w:eastAsia="zh-CN"/>
        </w:rPr>
        <w:t>6</w:t>
      </w:r>
      <w:r>
        <w:rPr>
          <w:rFonts w:hint="eastAsia" w:ascii="仿宋_GB2312" w:eastAsia="仿宋_GB2312"/>
          <w:b/>
          <w:color w:val="auto"/>
          <w:sz w:val="32"/>
          <w:szCs w:val="32"/>
        </w:rPr>
        <w:t>年度财政拨款支出说明</w:t>
      </w:r>
    </w:p>
    <w:p>
      <w:pPr>
        <w:spacing w:line="640" w:lineRule="exact"/>
        <w:ind w:firstLine="645"/>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广州海珠（大埔）产业转移工业园管委会</w:t>
      </w:r>
      <w:r>
        <w:rPr>
          <w:rFonts w:ascii="仿宋_GB2312" w:eastAsia="仿宋_GB2312"/>
          <w:color w:val="auto"/>
          <w:sz w:val="32"/>
          <w:szCs w:val="32"/>
        </w:rPr>
        <w:t>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年度财政拨款支出合计</w:t>
      </w:r>
      <w:r>
        <w:rPr>
          <w:rFonts w:hint="eastAsia" w:ascii="仿宋_GB2312" w:eastAsia="仿宋_GB2312"/>
          <w:color w:val="auto"/>
          <w:sz w:val="32"/>
          <w:szCs w:val="32"/>
          <w:lang w:val="en-US" w:eastAsia="zh-CN"/>
        </w:rPr>
        <w:t>3224.37</w:t>
      </w:r>
      <w:r>
        <w:rPr>
          <w:rFonts w:hint="eastAsia" w:ascii="仿宋_GB2312" w:eastAsia="仿宋_GB2312"/>
          <w:color w:val="auto"/>
          <w:sz w:val="32"/>
          <w:szCs w:val="32"/>
        </w:rPr>
        <w:t>万元。其中：一般公共预算财政拨款支出</w:t>
      </w:r>
      <w:r>
        <w:rPr>
          <w:rFonts w:hint="eastAsia" w:ascii="仿宋_GB2312" w:eastAsia="仿宋_GB2312"/>
          <w:color w:val="auto"/>
          <w:sz w:val="32"/>
          <w:szCs w:val="32"/>
          <w:lang w:val="en-US" w:eastAsia="zh-CN"/>
        </w:rPr>
        <w:t>191.57</w:t>
      </w:r>
      <w:r>
        <w:rPr>
          <w:rFonts w:hint="eastAsia" w:ascii="仿宋_GB2312" w:eastAsia="仿宋_GB2312"/>
          <w:color w:val="auto"/>
          <w:sz w:val="32"/>
          <w:szCs w:val="32"/>
        </w:rPr>
        <w:t>万元，比年初预算数增加</w:t>
      </w:r>
      <w:r>
        <w:rPr>
          <w:rFonts w:hint="eastAsia" w:ascii="仿宋_GB2312" w:eastAsia="仿宋_GB2312"/>
          <w:color w:val="auto"/>
          <w:sz w:val="32"/>
          <w:szCs w:val="32"/>
          <w:lang w:val="en-US" w:eastAsia="zh-CN"/>
        </w:rPr>
        <w:t>120.57</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170</w:t>
      </w:r>
      <w:r>
        <w:rPr>
          <w:rFonts w:ascii="仿宋_GB2312" w:eastAsia="仿宋_GB2312"/>
          <w:color w:val="auto"/>
          <w:sz w:val="32"/>
          <w:szCs w:val="32"/>
        </w:rPr>
        <w:t>%</w:t>
      </w:r>
      <w:r>
        <w:rPr>
          <w:rFonts w:hint="eastAsia" w:ascii="仿宋_GB2312" w:eastAsia="仿宋_GB2312"/>
          <w:color w:val="auto"/>
          <w:sz w:val="32"/>
          <w:szCs w:val="32"/>
        </w:rPr>
        <w:t>；主要原因</w:t>
      </w:r>
      <w:r>
        <w:rPr>
          <w:rFonts w:hint="eastAsia" w:ascii="仿宋_GB2312" w:eastAsia="仿宋_GB2312"/>
          <w:color w:val="auto"/>
          <w:sz w:val="32"/>
          <w:szCs w:val="32"/>
          <w:lang w:eastAsia="zh-CN"/>
        </w:rPr>
        <w:t>：一</w:t>
      </w:r>
      <w:r>
        <w:rPr>
          <w:rFonts w:hint="eastAsia" w:ascii="仿宋_GB2312" w:eastAsia="仿宋_GB2312"/>
          <w:color w:val="auto"/>
          <w:sz w:val="32"/>
          <w:szCs w:val="32"/>
        </w:rPr>
        <w:t>是</w:t>
      </w:r>
      <w:r>
        <w:rPr>
          <w:rFonts w:hint="eastAsia" w:ascii="仿宋_GB2312" w:eastAsia="仿宋_GB2312"/>
          <w:color w:val="auto"/>
          <w:sz w:val="32"/>
          <w:szCs w:val="32"/>
          <w:lang w:eastAsia="zh-CN"/>
        </w:rPr>
        <w:t>园区增加人员；二是园区正在建设。</w:t>
      </w:r>
    </w:p>
    <w:p>
      <w:pPr>
        <w:spacing w:line="288" w:lineRule="auto"/>
        <w:rPr>
          <w:rFonts w:ascii="仿宋_GB2312" w:eastAsia="仿宋_GB2312"/>
          <w:b/>
          <w:color w:val="auto"/>
          <w:sz w:val="32"/>
          <w:szCs w:val="32"/>
        </w:rPr>
      </w:pPr>
      <w:r>
        <w:rPr>
          <w:rFonts w:hint="eastAsia" w:ascii="仿宋_GB2312" w:eastAsia="仿宋_GB2312"/>
          <w:b/>
          <w:color w:val="auto"/>
          <w:sz w:val="32"/>
          <w:szCs w:val="32"/>
        </w:rPr>
        <w:t>三、</w:t>
      </w:r>
      <w:r>
        <w:rPr>
          <w:rFonts w:hint="eastAsia" w:ascii="仿宋_GB2312" w:eastAsia="仿宋_GB2312"/>
          <w:b/>
          <w:color w:val="auto"/>
          <w:sz w:val="32"/>
          <w:szCs w:val="32"/>
          <w:lang w:val="en-US" w:eastAsia="zh-CN"/>
        </w:rPr>
        <w:t>2016</w:t>
      </w:r>
      <w:r>
        <w:rPr>
          <w:rFonts w:hint="eastAsia" w:ascii="仿宋_GB2312" w:eastAsia="仿宋_GB2312"/>
          <w:b/>
          <w:color w:val="auto"/>
          <w:sz w:val="32"/>
          <w:szCs w:val="32"/>
        </w:rPr>
        <w:t>年度财政拨款“三公”经费支出决算情况说明</w:t>
      </w:r>
    </w:p>
    <w:p>
      <w:pPr>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（一）“三公”经费财政拨款支出决算总体情况说明</w:t>
      </w:r>
    </w:p>
    <w:p>
      <w:pPr>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 xml:space="preserve">     广州海珠（大埔）产业转移工业园管委会</w:t>
      </w:r>
      <w:r>
        <w:rPr>
          <w:rFonts w:ascii="仿宋_GB2312" w:eastAsia="仿宋_GB2312"/>
          <w:color w:val="auto"/>
          <w:sz w:val="32"/>
          <w:szCs w:val="32"/>
        </w:rPr>
        <w:t>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年度“</w:t>
      </w:r>
      <w:r>
        <w:rPr>
          <w:rFonts w:hint="eastAsia" w:ascii="仿宋_GB2312" w:hAnsi="宋体" w:eastAsia="仿宋_GB2312"/>
          <w:color w:val="auto"/>
          <w:sz w:val="32"/>
          <w:szCs w:val="32"/>
        </w:rPr>
        <w:t>三公”经费财政拨款支出决算为</w:t>
      </w:r>
      <w:r>
        <w:rPr>
          <w:rFonts w:hint="eastAsia" w:ascii="仿宋_GB2312" w:hAnsi="宋体" w:eastAsia="仿宋_GB2312"/>
          <w:color w:val="auto"/>
          <w:sz w:val="32"/>
          <w:szCs w:val="32"/>
          <w:lang w:val="en-US" w:eastAsia="zh-CN"/>
        </w:rPr>
        <w:t>2.04</w:t>
      </w:r>
      <w:r>
        <w:rPr>
          <w:rFonts w:hint="eastAsia" w:ascii="仿宋_GB2312" w:hAnsi="宋体" w:eastAsia="仿宋_GB2312"/>
          <w:color w:val="auto"/>
          <w:sz w:val="32"/>
          <w:szCs w:val="32"/>
        </w:rPr>
        <w:t>万元，完成预算</w:t>
      </w:r>
      <w:r>
        <w:rPr>
          <w:rFonts w:hint="eastAsia" w:ascii="仿宋_GB2312" w:hAnsi="宋体" w:eastAsia="仿宋_GB2312"/>
          <w:color w:val="auto"/>
          <w:sz w:val="32"/>
          <w:szCs w:val="32"/>
          <w:lang w:val="en-US" w:eastAsia="zh-CN"/>
        </w:rPr>
        <w:t>2</w:t>
      </w:r>
      <w:r>
        <w:rPr>
          <w:rFonts w:ascii="仿宋_GB2312" w:hAnsi="宋体" w:eastAsia="仿宋_GB2312"/>
          <w:color w:val="auto"/>
          <w:sz w:val="32"/>
          <w:szCs w:val="32"/>
        </w:rPr>
        <w:t>.</w:t>
      </w:r>
      <w:r>
        <w:rPr>
          <w:rFonts w:hint="eastAsia" w:ascii="仿宋_GB2312" w:hAnsi="宋体" w:eastAsia="仿宋_GB2312"/>
          <w:color w:val="auto"/>
          <w:sz w:val="32"/>
          <w:szCs w:val="32"/>
          <w:lang w:val="en-US" w:eastAsia="zh-CN"/>
        </w:rPr>
        <w:t>8</w:t>
      </w:r>
      <w:r>
        <w:rPr>
          <w:rFonts w:ascii="仿宋_GB2312" w:hAnsi="宋体" w:eastAsia="仿宋_GB2312"/>
          <w:color w:val="auto"/>
          <w:sz w:val="32"/>
          <w:szCs w:val="32"/>
        </w:rPr>
        <w:t>0</w:t>
      </w:r>
      <w:r>
        <w:rPr>
          <w:rFonts w:hint="eastAsia" w:ascii="仿宋_GB2312" w:hAnsi="宋体" w:eastAsia="仿宋_GB2312"/>
          <w:color w:val="auto"/>
          <w:sz w:val="32"/>
          <w:szCs w:val="32"/>
        </w:rPr>
        <w:t>万元的</w:t>
      </w:r>
      <w:r>
        <w:rPr>
          <w:rFonts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72.8</w:t>
      </w:r>
      <w:r>
        <w:rPr>
          <w:rFonts w:ascii="仿宋_GB2312" w:hAnsi="宋体" w:eastAsia="仿宋_GB2312"/>
          <w:color w:val="auto"/>
          <w:sz w:val="32"/>
          <w:szCs w:val="32"/>
        </w:rPr>
        <w:t>%</w:t>
      </w:r>
      <w:r>
        <w:rPr>
          <w:rFonts w:hint="eastAsia" w:ascii="仿宋_GB2312" w:hAnsi="宋体" w:eastAsia="仿宋_GB2312"/>
          <w:color w:val="auto"/>
          <w:sz w:val="32"/>
          <w:szCs w:val="32"/>
        </w:rPr>
        <w:t>。其中：</w:t>
      </w:r>
      <w:r>
        <w:rPr>
          <w:rFonts w:hint="eastAsia" w:ascii="仿宋_GB2312" w:eastAsia="仿宋_GB2312"/>
          <w:color w:val="auto"/>
          <w:sz w:val="32"/>
          <w:szCs w:val="32"/>
        </w:rPr>
        <w:t>公务接待费支出决算为</w:t>
      </w:r>
      <w:r>
        <w:rPr>
          <w:rFonts w:hint="eastAsia" w:ascii="仿宋_GB2312" w:eastAsia="仿宋_GB2312"/>
          <w:color w:val="auto"/>
          <w:sz w:val="32"/>
          <w:szCs w:val="32"/>
          <w:lang w:val="en-US" w:eastAsia="zh-CN"/>
        </w:rPr>
        <w:t>2</w:t>
      </w:r>
      <w:r>
        <w:rPr>
          <w:rFonts w:ascii="仿宋_GB2312" w:eastAsia="仿宋_GB2312"/>
          <w:color w:val="auto"/>
          <w:sz w:val="32"/>
          <w:szCs w:val="32"/>
        </w:rPr>
        <w:t>.0</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万元，完成预算</w:t>
      </w:r>
      <w:r>
        <w:rPr>
          <w:rFonts w:hint="eastAsia" w:ascii="仿宋_GB2312" w:eastAsia="仿宋_GB2312"/>
          <w:color w:val="auto"/>
          <w:sz w:val="32"/>
          <w:szCs w:val="32"/>
          <w:lang w:val="en-US" w:eastAsia="zh-CN"/>
        </w:rPr>
        <w:t>2.80</w:t>
      </w:r>
      <w:r>
        <w:rPr>
          <w:rFonts w:hint="eastAsia" w:ascii="仿宋_GB2312" w:eastAsia="仿宋_GB2312"/>
          <w:color w:val="auto"/>
          <w:sz w:val="32"/>
          <w:szCs w:val="32"/>
        </w:rPr>
        <w:t>万元的</w:t>
      </w:r>
      <w:r>
        <w:rPr>
          <w:rFonts w:hint="eastAsia" w:ascii="仿宋_GB2312" w:eastAsia="仿宋_GB2312"/>
          <w:color w:val="auto"/>
          <w:sz w:val="32"/>
          <w:szCs w:val="32"/>
          <w:lang w:val="en-US" w:eastAsia="zh-CN"/>
        </w:rPr>
        <w:t>72.8</w:t>
      </w:r>
      <w:r>
        <w:rPr>
          <w:rFonts w:ascii="仿宋_GB2312" w:eastAsia="仿宋_GB2312"/>
          <w:color w:val="auto"/>
          <w:sz w:val="32"/>
          <w:szCs w:val="32"/>
        </w:rPr>
        <w:t>0%</w:t>
      </w:r>
      <w:r>
        <w:rPr>
          <w:rFonts w:hint="eastAsia" w:ascii="仿宋_GB2312" w:eastAsia="仿宋_GB2312"/>
          <w:color w:val="auto"/>
          <w:sz w:val="32"/>
          <w:szCs w:val="32"/>
        </w:rPr>
        <w:t>。</w:t>
      </w:r>
      <w:r>
        <w:rPr>
          <w:rFonts w:ascii="仿宋_GB2312" w:eastAsia="仿宋_GB2312"/>
          <w:color w:val="auto"/>
          <w:sz w:val="32"/>
          <w:szCs w:val="32"/>
        </w:rPr>
        <w:t>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年度“三公”经费支出决算</w:t>
      </w:r>
      <w:r>
        <w:rPr>
          <w:rFonts w:hint="eastAsia" w:ascii="仿宋_GB2312" w:eastAsia="仿宋_GB2312"/>
          <w:color w:val="auto"/>
          <w:sz w:val="32"/>
          <w:szCs w:val="32"/>
          <w:lang w:eastAsia="zh-CN"/>
        </w:rPr>
        <w:t>小于</w:t>
      </w:r>
      <w:r>
        <w:rPr>
          <w:rFonts w:hint="eastAsia" w:ascii="仿宋_GB2312" w:eastAsia="仿宋_GB2312"/>
          <w:color w:val="auto"/>
          <w:sz w:val="32"/>
          <w:szCs w:val="32"/>
        </w:rPr>
        <w:t>预算数的主要原因是认真贯彻落实中央“八项规定”精神和厉行节约的要求，从严控制“三公”经费开支，全年实际支出比预算有所节约；</w:t>
      </w:r>
    </w:p>
    <w:p>
      <w:pPr>
        <w:ind w:firstLine="640" w:firstLineChars="200"/>
        <w:rPr>
          <w:rFonts w:ascii="仿宋_GB2312" w:hAnsi="宋体" w:eastAsia="仿宋_GB2312"/>
          <w:sz w:val="32"/>
          <w:szCs w:val="32"/>
        </w:rPr>
      </w:pPr>
      <w:r>
        <w:rPr>
          <w:rFonts w:hint="eastAsia" w:ascii="仿宋_GB2312" w:hAnsi="宋体" w:eastAsia="仿宋_GB2312"/>
          <w:color w:val="auto"/>
          <w:sz w:val="32"/>
          <w:szCs w:val="32"/>
        </w:rPr>
        <w:t>与上年相比，</w:t>
      </w:r>
      <w:r>
        <w:rPr>
          <w:rFonts w:ascii="仿宋_GB2312" w:hAnsi="宋体" w:eastAsia="仿宋_GB2312"/>
          <w:color w:val="auto"/>
          <w:sz w:val="32"/>
          <w:szCs w:val="32"/>
        </w:rPr>
        <w:t>201</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年度</w:t>
      </w:r>
      <w:r>
        <w:rPr>
          <w:rFonts w:hint="eastAsia" w:ascii="仿宋_GB2312" w:eastAsia="仿宋_GB2312"/>
          <w:color w:val="auto"/>
          <w:sz w:val="32"/>
          <w:szCs w:val="32"/>
        </w:rPr>
        <w:t>“</w:t>
      </w:r>
      <w:r>
        <w:rPr>
          <w:rFonts w:hint="eastAsia" w:ascii="仿宋_GB2312" w:hAnsi="宋体" w:eastAsia="仿宋_GB2312"/>
          <w:color w:val="auto"/>
          <w:sz w:val="32"/>
          <w:szCs w:val="32"/>
        </w:rPr>
        <w:t>三公”经费财政拨款支出决算数比上年增加</w:t>
      </w:r>
      <w:r>
        <w:rPr>
          <w:rFonts w:ascii="仿宋_GB2312" w:hAnsi="宋体" w:eastAsia="仿宋_GB2312"/>
          <w:color w:val="auto"/>
          <w:sz w:val="32"/>
          <w:szCs w:val="32"/>
        </w:rPr>
        <w:t>0.0</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万元，增长</w:t>
      </w:r>
      <w:r>
        <w:rPr>
          <w:rFonts w:hint="eastAsia" w:ascii="仿宋_GB2312" w:hAnsi="宋体" w:eastAsia="仿宋_GB2312"/>
          <w:color w:val="auto"/>
          <w:sz w:val="32"/>
          <w:szCs w:val="32"/>
          <w:lang w:val="en-US" w:eastAsia="zh-CN"/>
        </w:rPr>
        <w:t>1.9</w:t>
      </w:r>
      <w:r>
        <w:rPr>
          <w:rFonts w:ascii="仿宋_GB2312" w:hAnsi="宋体" w:eastAsia="仿宋_GB2312"/>
          <w:color w:val="auto"/>
          <w:sz w:val="32"/>
          <w:szCs w:val="32"/>
        </w:rPr>
        <w:t>%</w:t>
      </w:r>
      <w:r>
        <w:rPr>
          <w:rFonts w:hint="eastAsia" w:ascii="仿宋_GB2312" w:hAnsi="宋体" w:eastAsia="仿宋_GB2312"/>
          <w:color w:val="auto"/>
          <w:sz w:val="32"/>
          <w:szCs w:val="32"/>
        </w:rPr>
        <w:t>。其中：</w:t>
      </w:r>
      <w:r>
        <w:rPr>
          <w:rFonts w:hint="eastAsia" w:ascii="仿宋_GB2312" w:eastAsia="仿宋_GB2312"/>
          <w:color w:val="auto"/>
          <w:sz w:val="32"/>
          <w:szCs w:val="32"/>
        </w:rPr>
        <w:t>因公出国（境）费支出决算减少（增加）</w:t>
      </w:r>
      <w:r>
        <w:rPr>
          <w:rFonts w:ascii="仿宋_GB2312" w:eastAsia="仿宋_GB2312"/>
          <w:color w:val="auto"/>
          <w:sz w:val="32"/>
          <w:szCs w:val="32"/>
        </w:rPr>
        <w:t>0.00</w:t>
      </w:r>
      <w:r>
        <w:rPr>
          <w:rFonts w:hint="eastAsia" w:ascii="仿宋_GB2312" w:eastAsia="仿宋_GB2312"/>
          <w:color w:val="auto"/>
          <w:sz w:val="32"/>
          <w:szCs w:val="32"/>
        </w:rPr>
        <w:t>万元，</w:t>
      </w:r>
      <w:r>
        <w:rPr>
          <w:rFonts w:hint="eastAsia" w:ascii="仿宋_GB2312" w:hAnsi="宋体" w:eastAsia="仿宋_GB2312"/>
          <w:color w:val="auto"/>
          <w:sz w:val="32"/>
          <w:szCs w:val="32"/>
        </w:rPr>
        <w:t>下降（增长）</w:t>
      </w:r>
      <w:r>
        <w:rPr>
          <w:rFonts w:ascii="仿宋_GB2312" w:hAnsi="宋体" w:eastAsia="仿宋_GB2312"/>
          <w:color w:val="auto"/>
          <w:sz w:val="32"/>
          <w:szCs w:val="32"/>
        </w:rPr>
        <w:t xml:space="preserve"> 0.00%</w:t>
      </w:r>
      <w:r>
        <w:rPr>
          <w:rFonts w:hint="eastAsia" w:ascii="仿宋_GB2312" w:hAnsi="宋体" w:eastAsia="仿宋_GB2312"/>
          <w:color w:val="auto"/>
          <w:sz w:val="32"/>
          <w:szCs w:val="32"/>
        </w:rPr>
        <w:t>；</w:t>
      </w:r>
      <w:r>
        <w:rPr>
          <w:rFonts w:hint="eastAsia" w:ascii="仿宋_GB2312" w:eastAsia="仿宋_GB2312"/>
          <w:color w:val="auto"/>
          <w:sz w:val="32"/>
          <w:szCs w:val="32"/>
        </w:rPr>
        <w:t>公务用车购置及运行维护费支</w:t>
      </w:r>
      <w:r>
        <w:rPr>
          <w:rFonts w:hint="eastAsia" w:ascii="仿宋_GB2312" w:eastAsia="仿宋_GB2312"/>
          <w:sz w:val="32"/>
          <w:szCs w:val="32"/>
        </w:rPr>
        <w:t>出决算减少（增加）</w:t>
      </w:r>
      <w:r>
        <w:rPr>
          <w:rFonts w:ascii="仿宋_GB2312" w:eastAsia="仿宋_GB2312"/>
          <w:sz w:val="32"/>
          <w:szCs w:val="32"/>
        </w:rPr>
        <w:t xml:space="preserve"> 0.00</w:t>
      </w:r>
      <w:r>
        <w:rPr>
          <w:rFonts w:hint="eastAsia" w:ascii="仿宋_GB2312" w:eastAsia="仿宋_GB2312"/>
          <w:sz w:val="32"/>
          <w:szCs w:val="32"/>
        </w:rPr>
        <w:t>万元，</w:t>
      </w:r>
      <w:r>
        <w:rPr>
          <w:rFonts w:hint="eastAsia" w:ascii="仿宋_GB2312" w:hAnsi="宋体" w:eastAsia="仿宋_GB2312"/>
          <w:sz w:val="32"/>
          <w:szCs w:val="32"/>
        </w:rPr>
        <w:t>下降（增长）</w:t>
      </w:r>
      <w:r>
        <w:rPr>
          <w:rFonts w:ascii="仿宋_GB2312" w:hAnsi="宋体" w:eastAsia="仿宋_GB2312"/>
          <w:sz w:val="32"/>
          <w:szCs w:val="32"/>
        </w:rPr>
        <w:t>0.00%</w:t>
      </w:r>
      <w:r>
        <w:rPr>
          <w:rFonts w:hint="eastAsia" w:ascii="仿宋_GB2312" w:hAnsi="宋体" w:eastAsia="仿宋_GB2312"/>
          <w:sz w:val="32"/>
          <w:szCs w:val="32"/>
        </w:rPr>
        <w:t>；</w:t>
      </w:r>
      <w:r>
        <w:rPr>
          <w:rFonts w:hint="eastAsia" w:ascii="仿宋_GB2312" w:eastAsia="仿宋_GB2312"/>
          <w:sz w:val="32"/>
          <w:szCs w:val="32"/>
        </w:rPr>
        <w:t>公务接待费支出决算增加</w:t>
      </w:r>
      <w:r>
        <w:rPr>
          <w:rFonts w:ascii="仿宋_GB2312" w:eastAsia="仿宋_GB2312"/>
          <w:sz w:val="32"/>
          <w:szCs w:val="32"/>
        </w:rPr>
        <w:t>0.0</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1.90</w:t>
      </w:r>
      <w:r>
        <w:rPr>
          <w:rFonts w:ascii="仿宋_GB2312" w:hAnsi="宋体" w:eastAsia="仿宋_GB2312"/>
          <w:sz w:val="32"/>
          <w:szCs w:val="32"/>
        </w:rPr>
        <w:t>%</w:t>
      </w:r>
      <w:r>
        <w:rPr>
          <w:rFonts w:hint="eastAsia" w:ascii="仿宋_GB2312" w:hAnsi="宋体" w:eastAsia="仿宋_GB2312"/>
          <w:sz w:val="32"/>
          <w:szCs w:val="32"/>
        </w:rPr>
        <w:t>。</w:t>
      </w:r>
      <w:r>
        <w:rPr>
          <w:rFonts w:hint="eastAsia" w:ascii="仿宋_GB2312" w:eastAsia="仿宋_GB2312"/>
          <w:sz w:val="32"/>
          <w:szCs w:val="32"/>
        </w:rPr>
        <w:t>因公出国（境）费支出减少（增加）的主要原因是</w:t>
      </w:r>
      <w:r>
        <w:rPr>
          <w:rFonts w:hint="eastAsia" w:ascii="宋体" w:hAnsi="宋体"/>
          <w:sz w:val="28"/>
          <w:szCs w:val="28"/>
        </w:rPr>
        <w:t>无因公出国（境）支出</w:t>
      </w:r>
      <w:r>
        <w:rPr>
          <w:rFonts w:hint="eastAsia" w:ascii="仿宋_GB2312" w:eastAsia="仿宋_GB2312"/>
          <w:sz w:val="32"/>
          <w:szCs w:val="32"/>
        </w:rPr>
        <w:t>；公务接待费支出减少（增加）的主要原因是认真贯彻落实中央“八项规定”精神和厉行节约的要求，从严控制“三公”经费开支，全年实际支出比预算有所节约；</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ascii="仿宋_GB2312" w:eastAsia="仿宋_GB2312"/>
          <w:sz w:val="32"/>
          <w:szCs w:val="32"/>
        </w:rPr>
        <w:t xml:space="preserve"> 0.00</w:t>
      </w:r>
      <w:r>
        <w:rPr>
          <w:rFonts w:hint="eastAsia" w:ascii="仿宋_GB2312" w:eastAsia="仿宋_GB2312"/>
          <w:sz w:val="32"/>
          <w:szCs w:val="32"/>
        </w:rPr>
        <w:t>万元，占</w:t>
      </w:r>
      <w:r>
        <w:rPr>
          <w:rFonts w:ascii="仿宋_GB2312" w:eastAsia="仿宋_GB2312"/>
          <w:sz w:val="32"/>
          <w:szCs w:val="32"/>
        </w:rPr>
        <w:t>0.00%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；公务接待费支出</w:t>
      </w: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lang w:val="en-US" w:eastAsia="zh-CN"/>
        </w:rPr>
        <w:t>4</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因公出国（境）费支出</w:t>
      </w:r>
      <w:r>
        <w:rPr>
          <w:rFonts w:ascii="仿宋_GB2312" w:eastAsia="仿宋_GB2312"/>
          <w:sz w:val="32"/>
          <w:szCs w:val="32"/>
        </w:rPr>
        <w:t>0.00</w:t>
      </w:r>
      <w:r>
        <w:rPr>
          <w:rFonts w:hint="eastAsia" w:ascii="仿宋_GB2312" w:eastAsia="仿宋_GB2312"/>
          <w:sz w:val="32"/>
          <w:szCs w:val="32"/>
        </w:rPr>
        <w:t>万元。</w:t>
      </w:r>
    </w:p>
    <w:p>
      <w:pPr>
        <w:ind w:firstLine="640" w:firstLineChars="20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0.00</w:t>
      </w:r>
      <w:r>
        <w:rPr>
          <w:rFonts w:hint="eastAsia" w:ascii="仿宋_GB2312" w:eastAsia="仿宋_GB2312"/>
          <w:sz w:val="32"/>
          <w:szCs w:val="32"/>
        </w:rPr>
        <w:t>万元，其中：公务用车购置支出为</w:t>
      </w:r>
      <w:r>
        <w:rPr>
          <w:rFonts w:ascii="仿宋_GB2312" w:eastAsia="仿宋_GB2312"/>
          <w:sz w:val="32"/>
          <w:szCs w:val="32"/>
        </w:rPr>
        <w:t>0.00</w:t>
      </w:r>
      <w:r>
        <w:rPr>
          <w:rFonts w:hint="eastAsia" w:ascii="仿宋_GB2312" w:eastAsia="仿宋_GB2312"/>
          <w:sz w:val="32"/>
          <w:szCs w:val="32"/>
        </w:rPr>
        <w:t>万元；公务用车运行及维护支出</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w:t>
      </w:r>
    </w:p>
    <w:p>
      <w:pPr>
        <w:ind w:firstLine="640" w:firstLineChars="200"/>
        <w:rPr>
          <w:rFonts w:ascii="仿宋_GB2312" w:eastAsia="仿宋_GB2312"/>
          <w:color w:val="auto"/>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lang w:val="en-US" w:eastAsia="zh-CN"/>
        </w:rPr>
        <w:t>4</w:t>
      </w:r>
      <w:r>
        <w:rPr>
          <w:rFonts w:hint="eastAsia" w:ascii="仿宋_GB2312" w:eastAsia="仿宋_GB2312"/>
          <w:sz w:val="32"/>
          <w:szCs w:val="32"/>
        </w:rPr>
        <w:t>万元，主要用于上级单位检查和相关单位交流工作等方面的接待。</w:t>
      </w:r>
      <w:r>
        <w:rPr>
          <w:rFonts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单位</w:t>
      </w:r>
      <w:r>
        <w:rPr>
          <w:rFonts w:hint="eastAsia" w:ascii="仿宋_GB2312" w:eastAsia="仿宋_GB2312"/>
          <w:sz w:val="32"/>
          <w:szCs w:val="32"/>
        </w:rPr>
        <w:t>机关共接待国外来访团组</w:t>
      </w:r>
      <w:r>
        <w:rPr>
          <w:rFonts w:ascii="仿宋_GB2312" w:eastAsia="仿宋_GB2312"/>
          <w:sz w:val="32"/>
          <w:szCs w:val="32"/>
        </w:rPr>
        <w:t>0</w:t>
      </w:r>
      <w:r>
        <w:rPr>
          <w:rFonts w:hint="eastAsia" w:ascii="仿宋_GB2312" w:eastAsia="仿宋_GB2312"/>
          <w:sz w:val="32"/>
          <w:szCs w:val="32"/>
        </w:rPr>
        <w:t>个，来访外宾</w:t>
      </w:r>
      <w:r>
        <w:rPr>
          <w:rFonts w:ascii="仿宋_GB2312" w:eastAsia="仿宋_GB2312"/>
          <w:sz w:val="32"/>
          <w:szCs w:val="32"/>
        </w:rPr>
        <w:t>0</w:t>
      </w:r>
      <w:r>
        <w:rPr>
          <w:rFonts w:hint="eastAsia" w:ascii="仿宋_GB2312" w:eastAsia="仿宋_GB2312"/>
          <w:sz w:val="32"/>
          <w:szCs w:val="32"/>
        </w:rPr>
        <w:t>人次；</w:t>
      </w:r>
      <w:r>
        <w:rPr>
          <w:rFonts w:hint="eastAsia" w:ascii="仿宋_GB2312" w:eastAsia="仿宋_GB2312"/>
          <w:color w:val="auto"/>
          <w:sz w:val="32"/>
          <w:szCs w:val="32"/>
        </w:rPr>
        <w:t>发生国内接待</w:t>
      </w:r>
      <w:r>
        <w:rPr>
          <w:rFonts w:hint="eastAsia" w:ascii="仿宋_GB2312" w:eastAsia="仿宋_GB2312"/>
          <w:color w:val="auto"/>
          <w:sz w:val="32"/>
          <w:szCs w:val="32"/>
          <w:lang w:val="en-US" w:eastAsia="zh-CN"/>
        </w:rPr>
        <w:t>27</w:t>
      </w:r>
      <w:r>
        <w:rPr>
          <w:rFonts w:hint="eastAsia" w:ascii="仿宋_GB2312" w:eastAsia="仿宋_GB2312"/>
          <w:color w:val="auto"/>
          <w:sz w:val="32"/>
          <w:szCs w:val="32"/>
        </w:rPr>
        <w:t>次，接待人数共</w:t>
      </w:r>
      <w:r>
        <w:rPr>
          <w:rFonts w:hint="eastAsia" w:ascii="仿宋_GB2312" w:eastAsia="仿宋_GB2312"/>
          <w:color w:val="auto"/>
          <w:sz w:val="32"/>
          <w:szCs w:val="32"/>
          <w:lang w:val="en-US" w:eastAsia="zh-CN"/>
        </w:rPr>
        <w:t>230</w:t>
      </w:r>
      <w:r>
        <w:rPr>
          <w:rFonts w:hint="eastAsia" w:ascii="仿宋_GB2312" w:eastAsia="仿宋_GB2312"/>
          <w:color w:val="auto"/>
          <w:sz w:val="32"/>
          <w:szCs w:val="32"/>
        </w:rPr>
        <w:t>人。主要包括上级单位检查和相关单位交流工作等方面的接待。</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640" w:lineRule="exact"/>
        <w:ind w:firstLine="645"/>
        <w:rPr>
          <w:rFonts w:hint="eastAsia" w:ascii="仿宋_GB2312" w:eastAsia="仿宋_GB2312"/>
          <w:color w:val="auto"/>
          <w:sz w:val="32"/>
          <w:szCs w:val="32"/>
          <w:lang w:eastAsia="zh-CN"/>
        </w:rPr>
      </w:pPr>
      <w:r>
        <w:rPr>
          <w:rFonts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3224.37</w:t>
      </w:r>
      <w:r>
        <w:rPr>
          <w:rFonts w:hint="eastAsia" w:ascii="仿宋_GB2312" w:hAnsi="宋体" w:eastAsia="仿宋_GB2312"/>
          <w:sz w:val="32"/>
          <w:szCs w:val="32"/>
        </w:rPr>
        <w:t>万元（与部门决算中行政单位和参照公务员法管理的事业单位一般公共预算财政拨款基本支出中公用经费之和保持一致），比上年增加</w:t>
      </w:r>
      <w:r>
        <w:rPr>
          <w:rFonts w:hint="eastAsia" w:ascii="仿宋_GB2312" w:hAnsi="宋体" w:eastAsia="仿宋_GB2312"/>
          <w:sz w:val="32"/>
          <w:szCs w:val="32"/>
          <w:lang w:val="en-US" w:eastAsia="zh-CN"/>
        </w:rPr>
        <w:t>3141.98</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38</w:t>
      </w:r>
      <w:r>
        <w:rPr>
          <w:rFonts w:ascii="仿宋_GB2312" w:hAnsi="宋体" w:eastAsia="仿宋_GB2312"/>
          <w:sz w:val="32"/>
          <w:szCs w:val="32"/>
        </w:rPr>
        <w:t>%</w:t>
      </w:r>
      <w:r>
        <w:rPr>
          <w:rFonts w:hint="eastAsia" w:ascii="仿宋_GB2312" w:hAnsi="宋体" w:eastAsia="仿宋_GB2312"/>
          <w:sz w:val="32"/>
          <w:szCs w:val="32"/>
        </w:rPr>
        <w:t>。主要原因是：</w:t>
      </w:r>
      <w:r>
        <w:rPr>
          <w:rFonts w:hint="eastAsia" w:ascii="仿宋_GB2312" w:eastAsia="仿宋_GB2312"/>
          <w:color w:val="auto"/>
          <w:sz w:val="32"/>
          <w:szCs w:val="32"/>
          <w:lang w:eastAsia="zh-CN"/>
        </w:rPr>
        <w:t>高陂园区正在建设。</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1.46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1.46</w:t>
      </w:r>
      <w:r>
        <w:rPr>
          <w:rFonts w:hint="eastAsia" w:ascii="仿宋_GB2312" w:eastAsia="仿宋_GB2312"/>
          <w:sz w:val="32"/>
          <w:szCs w:val="32"/>
        </w:rPr>
        <w:t>万元、政府采购工程支出</w:t>
      </w:r>
      <w:r>
        <w:rPr>
          <w:rFonts w:ascii="仿宋_GB2312" w:eastAsia="仿宋_GB2312"/>
          <w:sz w:val="32"/>
          <w:szCs w:val="32"/>
        </w:rPr>
        <w:t>0.00</w:t>
      </w:r>
      <w:r>
        <w:rPr>
          <w:rFonts w:hint="eastAsia" w:ascii="仿宋_GB2312" w:eastAsia="仿宋_GB2312"/>
          <w:sz w:val="32"/>
          <w:szCs w:val="32"/>
        </w:rPr>
        <w:t>万元、政府采购服务支出</w:t>
      </w:r>
      <w:r>
        <w:rPr>
          <w:rFonts w:ascii="仿宋_GB2312" w:eastAsia="仿宋_GB2312"/>
          <w:sz w:val="32"/>
          <w:szCs w:val="32"/>
        </w:rPr>
        <w:t>0.00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辆（用于机要通信、应急工作）；</w:t>
      </w:r>
      <w:r>
        <w:rPr>
          <w:rFonts w:hint="eastAsia" w:ascii="仿宋_GB2312" w:hAnsi="宋体" w:eastAsia="仿宋_GB2312" w:cs="宋体"/>
          <w:kern w:val="0"/>
          <w:sz w:val="32"/>
          <w:szCs w:val="32"/>
        </w:rPr>
        <w:t>单位价值</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万元以上通用设备</w:t>
      </w:r>
      <w:r>
        <w:rPr>
          <w:rFonts w:ascii="仿宋_GB2312" w:hAnsi="宋体" w:eastAsia="仿宋_GB2312" w:cs="宋体"/>
          <w:kern w:val="0"/>
          <w:sz w:val="32"/>
          <w:szCs w:val="32"/>
        </w:rPr>
        <w:t>0</w:t>
      </w:r>
      <w:r>
        <w:rPr>
          <w:rFonts w:hint="eastAsia" w:ascii="仿宋_GB2312" w:hAnsi="宋体" w:eastAsia="仿宋_GB2312" w:cs="宋体"/>
          <w:kern w:val="0"/>
          <w:sz w:val="32"/>
          <w:szCs w:val="32"/>
        </w:rPr>
        <w:t>台（套），单价</w:t>
      </w:r>
      <w:r>
        <w:rPr>
          <w:rFonts w:ascii="仿宋_GB2312" w:hAnsi="宋体" w:eastAsia="仿宋_GB2312" w:cs="宋体"/>
          <w:kern w:val="0"/>
          <w:sz w:val="32"/>
          <w:szCs w:val="32"/>
        </w:rPr>
        <w:t>100</w:t>
      </w:r>
      <w:r>
        <w:rPr>
          <w:rFonts w:hint="eastAsia" w:ascii="仿宋_GB2312" w:hAnsi="宋体" w:eastAsia="仿宋_GB2312" w:cs="宋体"/>
          <w:kern w:val="0"/>
          <w:sz w:val="32"/>
          <w:szCs w:val="32"/>
        </w:rPr>
        <w:t>万元以上专用设备</w:t>
      </w:r>
      <w:r>
        <w:rPr>
          <w:rFonts w:ascii="仿宋_GB2312" w:hAnsi="宋体" w:eastAsia="仿宋_GB2312" w:cs="宋体"/>
          <w:kern w:val="0"/>
          <w:sz w:val="32"/>
          <w:szCs w:val="32"/>
        </w:rPr>
        <w:t>0</w:t>
      </w:r>
      <w:r>
        <w:rPr>
          <w:rFonts w:hint="eastAsia" w:ascii="仿宋_GB2312" w:hAnsi="宋体" w:eastAsia="仿宋_GB2312" w:cs="宋体"/>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360" w:lineRule="auto"/>
        <w:ind w:firstLine="643"/>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本单位未进行预算绩效管理工作的评价</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w:t>
      </w:r>
      <w:r>
        <w:rPr>
          <w:rFonts w:ascii="仿宋_GB2312" w:eastAsia="仿宋_GB2312"/>
          <w:b/>
          <w:sz w:val="32"/>
          <w:szCs w:val="32"/>
        </w:rPr>
        <w:t xml:space="preserve">  </w:t>
      </w:r>
      <w:r>
        <w:rPr>
          <w:rFonts w:hint="eastAsia" w:ascii="仿宋_GB2312" w:eastAsia="仿宋_GB2312"/>
          <w:b/>
          <w:sz w:val="32"/>
          <w:szCs w:val="32"/>
        </w:rPr>
        <w:t>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
      <w:pPr>
        <w:snapToGrid w:val="0"/>
        <w:spacing w:line="360" w:lineRule="auto"/>
        <w:ind w:firstLine="643"/>
        <w:rPr>
          <w:rFonts w:hint="eastAsia" w:ascii="仿宋_GB2312" w:eastAsia="仿宋_GB2312"/>
          <w:sz w:val="32"/>
          <w:szCs w:val="32"/>
        </w:rPr>
      </w:pPr>
    </w:p>
    <w:p>
      <w:pPr>
        <w:spacing w:line="640" w:lineRule="exact"/>
        <w:ind w:firstLine="645"/>
        <w:rPr>
          <w:rFonts w:hint="eastAsia" w:ascii="仿宋_GB2312" w:eastAsia="仿宋_GB2312"/>
          <w:sz w:val="32"/>
          <w:szCs w:val="32"/>
          <w:lang w:val="en-US" w:eastAsia="zh-CN"/>
        </w:rPr>
      </w:pPr>
    </w:p>
    <w:p>
      <w:pPr>
        <w:ind w:firstLine="560" w:firstLineChars="200"/>
        <w:rPr>
          <w:rFonts w:hint="eastAsia"/>
          <w:sz w:val="28"/>
          <w:szCs w:val="28"/>
          <w:lang w:eastAsia="zh-CN"/>
        </w:rPr>
      </w:pPr>
    </w:p>
    <w:p>
      <w:pPr>
        <w:ind w:firstLine="560" w:firstLineChars="200"/>
        <w:rPr>
          <w:rFonts w:hint="eastAsia"/>
          <w:sz w:val="28"/>
          <w:szCs w:val="28"/>
          <w:lang w:eastAsia="zh-CN"/>
        </w:rPr>
      </w:pPr>
    </w:p>
    <w:p>
      <w:pPr>
        <w:jc w:val="both"/>
        <w:rPr>
          <w:rFonts w:hint="eastAsia"/>
          <w:b/>
          <w:sz w:val="28"/>
          <w:szCs w:val="28"/>
        </w:rPr>
      </w:pP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体,微软雅黑">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1B36"/>
    <w:rsid w:val="00002A65"/>
    <w:rsid w:val="000077EB"/>
    <w:rsid w:val="0003679A"/>
    <w:rsid w:val="00074C45"/>
    <w:rsid w:val="0008602C"/>
    <w:rsid w:val="000D223F"/>
    <w:rsid w:val="00103C1E"/>
    <w:rsid w:val="0010544F"/>
    <w:rsid w:val="00143E63"/>
    <w:rsid w:val="0014523B"/>
    <w:rsid w:val="0017560D"/>
    <w:rsid w:val="0018598B"/>
    <w:rsid w:val="00193D4F"/>
    <w:rsid w:val="001B7605"/>
    <w:rsid w:val="002113F6"/>
    <w:rsid w:val="00223CC3"/>
    <w:rsid w:val="00264861"/>
    <w:rsid w:val="0033564E"/>
    <w:rsid w:val="003406AC"/>
    <w:rsid w:val="0035506A"/>
    <w:rsid w:val="00375080"/>
    <w:rsid w:val="003854A8"/>
    <w:rsid w:val="003A0C37"/>
    <w:rsid w:val="003B4BEA"/>
    <w:rsid w:val="003D5557"/>
    <w:rsid w:val="003E2E54"/>
    <w:rsid w:val="003F39D7"/>
    <w:rsid w:val="004370A9"/>
    <w:rsid w:val="004431AE"/>
    <w:rsid w:val="004967FC"/>
    <w:rsid w:val="004B3F6F"/>
    <w:rsid w:val="0054391E"/>
    <w:rsid w:val="00580AA9"/>
    <w:rsid w:val="00597F98"/>
    <w:rsid w:val="005A3E62"/>
    <w:rsid w:val="005E4D45"/>
    <w:rsid w:val="00631DF8"/>
    <w:rsid w:val="0068759D"/>
    <w:rsid w:val="006C2FAA"/>
    <w:rsid w:val="006E05E3"/>
    <w:rsid w:val="00723CD1"/>
    <w:rsid w:val="00743342"/>
    <w:rsid w:val="00763F8E"/>
    <w:rsid w:val="00786B38"/>
    <w:rsid w:val="007901F4"/>
    <w:rsid w:val="00795860"/>
    <w:rsid w:val="007A4113"/>
    <w:rsid w:val="007B6412"/>
    <w:rsid w:val="008011DE"/>
    <w:rsid w:val="0080262F"/>
    <w:rsid w:val="008325C5"/>
    <w:rsid w:val="008730C9"/>
    <w:rsid w:val="00891B15"/>
    <w:rsid w:val="008D7522"/>
    <w:rsid w:val="00916A04"/>
    <w:rsid w:val="009254F3"/>
    <w:rsid w:val="00967310"/>
    <w:rsid w:val="00993212"/>
    <w:rsid w:val="009B1233"/>
    <w:rsid w:val="009B1E66"/>
    <w:rsid w:val="009C3DA7"/>
    <w:rsid w:val="009E792C"/>
    <w:rsid w:val="009F54F6"/>
    <w:rsid w:val="00A643DE"/>
    <w:rsid w:val="00A81CA5"/>
    <w:rsid w:val="00B40018"/>
    <w:rsid w:val="00BC6F1C"/>
    <w:rsid w:val="00BD6B88"/>
    <w:rsid w:val="00C32348"/>
    <w:rsid w:val="00C43C5F"/>
    <w:rsid w:val="00C74B7E"/>
    <w:rsid w:val="00CA11EB"/>
    <w:rsid w:val="00CB40C8"/>
    <w:rsid w:val="00D01B36"/>
    <w:rsid w:val="00D619EC"/>
    <w:rsid w:val="00D7314E"/>
    <w:rsid w:val="00D843DA"/>
    <w:rsid w:val="00D90282"/>
    <w:rsid w:val="00D96F03"/>
    <w:rsid w:val="00DA36A1"/>
    <w:rsid w:val="00DF4CBA"/>
    <w:rsid w:val="00E10990"/>
    <w:rsid w:val="00E269A2"/>
    <w:rsid w:val="00E440BE"/>
    <w:rsid w:val="00E513C9"/>
    <w:rsid w:val="00EE1EC5"/>
    <w:rsid w:val="00EF3118"/>
    <w:rsid w:val="00F30156"/>
    <w:rsid w:val="00F3294E"/>
    <w:rsid w:val="00F32C9F"/>
    <w:rsid w:val="00F35297"/>
    <w:rsid w:val="00F401F5"/>
    <w:rsid w:val="00F76F8C"/>
    <w:rsid w:val="00F80B12"/>
    <w:rsid w:val="00F971E4"/>
    <w:rsid w:val="00FC781C"/>
    <w:rsid w:val="00FD1D7C"/>
    <w:rsid w:val="00FE1C34"/>
    <w:rsid w:val="00FE208A"/>
    <w:rsid w:val="00FE62FA"/>
    <w:rsid w:val="00FE74ED"/>
    <w:rsid w:val="00FF7B73"/>
    <w:rsid w:val="030006BD"/>
    <w:rsid w:val="0465179E"/>
    <w:rsid w:val="051C3D96"/>
    <w:rsid w:val="05240535"/>
    <w:rsid w:val="070B128A"/>
    <w:rsid w:val="07D3727D"/>
    <w:rsid w:val="0B7D3A77"/>
    <w:rsid w:val="0E9909B9"/>
    <w:rsid w:val="129D0362"/>
    <w:rsid w:val="12E41CFB"/>
    <w:rsid w:val="139E12FD"/>
    <w:rsid w:val="155C1975"/>
    <w:rsid w:val="19E510A8"/>
    <w:rsid w:val="1B7343AB"/>
    <w:rsid w:val="1E0159FA"/>
    <w:rsid w:val="1EAA0602"/>
    <w:rsid w:val="1ED41EFC"/>
    <w:rsid w:val="2A2E015B"/>
    <w:rsid w:val="326066C4"/>
    <w:rsid w:val="32F15D9B"/>
    <w:rsid w:val="34425AE0"/>
    <w:rsid w:val="3A7A4CDD"/>
    <w:rsid w:val="3C0129E5"/>
    <w:rsid w:val="42961D33"/>
    <w:rsid w:val="44DB4950"/>
    <w:rsid w:val="46D70D78"/>
    <w:rsid w:val="49261DC1"/>
    <w:rsid w:val="49C671B6"/>
    <w:rsid w:val="4A960102"/>
    <w:rsid w:val="4CB1769E"/>
    <w:rsid w:val="50776484"/>
    <w:rsid w:val="5D633827"/>
    <w:rsid w:val="5E4C4008"/>
    <w:rsid w:val="60FE419C"/>
    <w:rsid w:val="685C51B4"/>
    <w:rsid w:val="6A3636F0"/>
    <w:rsid w:val="6F8C4E36"/>
    <w:rsid w:val="72E54648"/>
    <w:rsid w:val="790321FA"/>
    <w:rsid w:val="7D104BE6"/>
    <w:rsid w:val="7FE3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 w:type="character" w:customStyle="1" w:styleId="9">
    <w:name w:val="Font Style31"/>
    <w:basedOn w:val="4"/>
    <w:qFormat/>
    <w:uiPriority w:val="99"/>
    <w:rPr>
      <w:rFonts w:ascii="宋体" w:eastAsia="宋体" w:cs="宋体"/>
      <w:b/>
      <w:bCs/>
      <w:spacing w:val="2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B6A0B-2AD9-43B0-B90C-48A4E2266B28}">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15</Pages>
  <Words>1067</Words>
  <Characters>6087</Characters>
  <Lines>50</Lines>
  <Paragraphs>14</Paragraphs>
  <ScaleCrop>false</ScaleCrop>
  <LinksUpToDate>false</LinksUpToDate>
  <CharactersWithSpaces>7140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2016-10-24T02:59:00Z</dcterms:created>
  <dc:creator>Chinese User</dc:creator>
  <cp:lastModifiedBy>Administrator</cp:lastModifiedBy>
  <cp:lastPrinted>2016-10-26T12:32:00Z</cp:lastPrinted>
  <dcterms:modified xsi:type="dcterms:W3CDTF">2018-04-12T02:50:44Z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