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AB" w:rsidRPr="004E7090" w:rsidRDefault="007D4033" w:rsidP="004E7090">
      <w:pPr>
        <w:jc w:val="center"/>
        <w:rPr>
          <w:rFonts w:asciiTheme="majorEastAsia" w:eastAsiaTheme="majorEastAsia" w:hAnsiTheme="majorEastAsia"/>
          <w:b/>
          <w:sz w:val="44"/>
          <w:szCs w:val="44"/>
        </w:rPr>
      </w:pPr>
      <w:bookmarkStart w:id="0" w:name="_Hlk517617929"/>
      <w:r w:rsidRPr="004E7090">
        <w:rPr>
          <w:rFonts w:asciiTheme="majorEastAsia" w:eastAsiaTheme="majorEastAsia" w:hAnsiTheme="majorEastAsia" w:hint="eastAsia"/>
          <w:b/>
          <w:sz w:val="44"/>
          <w:szCs w:val="44"/>
        </w:rPr>
        <w:t>大埔县“十三五”规划</w:t>
      </w:r>
      <w:r w:rsidR="00CE38CB" w:rsidRPr="004E7090">
        <w:rPr>
          <w:rFonts w:asciiTheme="majorEastAsia" w:eastAsiaTheme="majorEastAsia" w:hAnsiTheme="majorEastAsia" w:hint="eastAsia"/>
          <w:b/>
          <w:sz w:val="44"/>
          <w:szCs w:val="44"/>
        </w:rPr>
        <w:t>纲要</w:t>
      </w:r>
      <w:r w:rsidRPr="004E7090">
        <w:rPr>
          <w:rFonts w:asciiTheme="majorEastAsia" w:eastAsiaTheme="majorEastAsia" w:hAnsiTheme="majorEastAsia" w:hint="eastAsia"/>
          <w:b/>
          <w:sz w:val="44"/>
          <w:szCs w:val="44"/>
        </w:rPr>
        <w:t>实施情况</w:t>
      </w:r>
      <w:bookmarkEnd w:id="0"/>
    </w:p>
    <w:p w:rsidR="004E7090" w:rsidRPr="004E7090" w:rsidRDefault="007D4033" w:rsidP="004E7090">
      <w:pPr>
        <w:jc w:val="center"/>
        <w:rPr>
          <w:rFonts w:asciiTheme="majorEastAsia" w:eastAsiaTheme="majorEastAsia" w:hAnsiTheme="majorEastAsia"/>
          <w:b/>
          <w:sz w:val="44"/>
          <w:szCs w:val="44"/>
        </w:rPr>
      </w:pPr>
      <w:r w:rsidRPr="004E7090">
        <w:rPr>
          <w:rFonts w:asciiTheme="majorEastAsia" w:eastAsiaTheme="majorEastAsia" w:hAnsiTheme="majorEastAsia" w:hint="eastAsia"/>
          <w:b/>
          <w:sz w:val="44"/>
          <w:szCs w:val="44"/>
        </w:rPr>
        <w:t>中期评估报告</w:t>
      </w:r>
    </w:p>
    <w:p w:rsidR="007D4033" w:rsidRPr="004E7090" w:rsidRDefault="007D4033" w:rsidP="004E7090">
      <w:pPr>
        <w:jc w:val="center"/>
        <w:rPr>
          <w:rFonts w:ascii="仿宋" w:eastAsia="仿宋" w:hAnsi="仿宋"/>
          <w:b/>
          <w:sz w:val="32"/>
          <w:szCs w:val="32"/>
        </w:rPr>
      </w:pPr>
      <w:r w:rsidRPr="004E7090">
        <w:rPr>
          <w:rFonts w:ascii="仿宋" w:eastAsia="仿宋" w:hAnsi="仿宋" w:hint="eastAsia"/>
          <w:b/>
          <w:sz w:val="32"/>
          <w:szCs w:val="32"/>
        </w:rPr>
        <w:t>（</w:t>
      </w:r>
      <w:r w:rsidR="006130AB" w:rsidRPr="004E7090">
        <w:rPr>
          <w:rFonts w:ascii="仿宋" w:eastAsia="仿宋" w:hAnsi="仿宋" w:hint="eastAsia"/>
          <w:b/>
          <w:sz w:val="32"/>
          <w:szCs w:val="32"/>
        </w:rPr>
        <w:t>征求意见</w:t>
      </w:r>
      <w:r w:rsidR="00CE38CB" w:rsidRPr="004E7090">
        <w:rPr>
          <w:rFonts w:ascii="仿宋" w:eastAsia="仿宋" w:hAnsi="仿宋" w:hint="eastAsia"/>
          <w:b/>
          <w:sz w:val="32"/>
          <w:szCs w:val="32"/>
        </w:rPr>
        <w:t>稿</w:t>
      </w:r>
      <w:r w:rsidRPr="004E7090">
        <w:rPr>
          <w:rFonts w:ascii="仿宋" w:eastAsia="仿宋" w:hAnsi="仿宋" w:hint="eastAsia"/>
          <w:b/>
          <w:sz w:val="32"/>
          <w:szCs w:val="32"/>
        </w:rPr>
        <w:t>）</w:t>
      </w:r>
    </w:p>
    <w:p w:rsidR="00B8468D" w:rsidRPr="004E7090" w:rsidRDefault="00B8468D" w:rsidP="004E7090">
      <w:pPr>
        <w:ind w:firstLineChars="200" w:firstLine="640"/>
        <w:rPr>
          <w:rFonts w:ascii="仿宋" w:eastAsia="仿宋" w:hAnsi="仿宋"/>
          <w:sz w:val="32"/>
          <w:szCs w:val="32"/>
        </w:rPr>
      </w:pPr>
    </w:p>
    <w:p w:rsidR="00AF1190" w:rsidRPr="004E7090" w:rsidRDefault="00AF1190" w:rsidP="004E7090">
      <w:pPr>
        <w:ind w:firstLineChars="200" w:firstLine="640"/>
        <w:rPr>
          <w:rFonts w:ascii="仿宋" w:eastAsia="仿宋" w:hAnsi="仿宋"/>
          <w:sz w:val="32"/>
          <w:szCs w:val="32"/>
        </w:rPr>
      </w:pPr>
      <w:bookmarkStart w:id="1" w:name="_Toc361211693"/>
      <w:bookmarkStart w:id="2" w:name="_Toc361211761"/>
      <w:bookmarkStart w:id="3" w:name="_Toc361211815"/>
      <w:bookmarkStart w:id="4" w:name="_Toc361212128"/>
      <w:bookmarkStart w:id="5" w:name="_Toc366509004"/>
      <w:r w:rsidRPr="004E7090">
        <w:rPr>
          <w:rFonts w:ascii="仿宋" w:eastAsia="仿宋" w:hAnsi="仿宋" w:hint="eastAsia"/>
          <w:sz w:val="32"/>
          <w:szCs w:val="32"/>
        </w:rPr>
        <w:t>《</w:t>
      </w:r>
      <w:r w:rsidR="00CF4151" w:rsidRPr="004E7090">
        <w:rPr>
          <w:rFonts w:ascii="仿宋" w:eastAsia="仿宋" w:hAnsi="仿宋" w:hint="eastAsia"/>
          <w:sz w:val="32"/>
          <w:szCs w:val="32"/>
        </w:rPr>
        <w:t>大埔县国民经济和社会发展第十三个五年规划纲要</w:t>
      </w:r>
      <w:r w:rsidR="0039283D" w:rsidRPr="004E7090">
        <w:rPr>
          <w:rFonts w:ascii="仿宋" w:eastAsia="仿宋" w:hAnsi="仿宋" w:hint="eastAsia"/>
          <w:sz w:val="32"/>
          <w:szCs w:val="32"/>
        </w:rPr>
        <w:t>》</w:t>
      </w:r>
      <w:r w:rsidR="00CF4151" w:rsidRPr="004E7090">
        <w:rPr>
          <w:rFonts w:ascii="仿宋" w:eastAsia="仿宋" w:hAnsi="仿宋" w:hint="eastAsia"/>
          <w:sz w:val="32"/>
          <w:szCs w:val="32"/>
        </w:rPr>
        <w:t>围绕省“三个定位、两个率先”战略目标和市“一区两带</w:t>
      </w:r>
      <w:r w:rsidR="00986352" w:rsidRPr="004E7090">
        <w:rPr>
          <w:rFonts w:ascii="仿宋" w:eastAsia="仿宋" w:hAnsi="仿宋" w:hint="eastAsia"/>
          <w:sz w:val="32"/>
          <w:szCs w:val="32"/>
        </w:rPr>
        <w:t>六组团</w:t>
      </w:r>
      <w:r w:rsidR="00CF4151" w:rsidRPr="004E7090">
        <w:rPr>
          <w:rFonts w:ascii="仿宋" w:eastAsia="仿宋" w:hAnsi="仿宋" w:hint="eastAsia"/>
          <w:sz w:val="32"/>
          <w:szCs w:val="32"/>
        </w:rPr>
        <w:t>”发展战略，</w:t>
      </w:r>
      <w:r w:rsidRPr="004E7090">
        <w:rPr>
          <w:rFonts w:ascii="仿宋" w:eastAsia="仿宋" w:hAnsi="仿宋" w:hint="eastAsia"/>
          <w:sz w:val="32"/>
          <w:szCs w:val="32"/>
        </w:rPr>
        <w:t>描绘了我县经济社会发展的宏伟蓝图。为全面把握规划实施进展，客观评价规划实施成效，认真剖析规划实施中遇到的问题和困难，提出规划调整意见和进一步推动规划实</w:t>
      </w:r>
      <w:r w:rsidR="0039283D" w:rsidRPr="004E7090">
        <w:rPr>
          <w:rFonts w:ascii="仿宋" w:eastAsia="仿宋" w:hAnsi="仿宋" w:hint="eastAsia"/>
          <w:sz w:val="32"/>
          <w:szCs w:val="32"/>
        </w:rPr>
        <w:t>施的对策措施，推动规划确定的各项目标任务如期完成，为编制“十四</w:t>
      </w:r>
      <w:r w:rsidRPr="004E7090">
        <w:rPr>
          <w:rFonts w:ascii="仿宋" w:eastAsia="仿宋" w:hAnsi="仿宋" w:hint="eastAsia"/>
          <w:sz w:val="32"/>
          <w:szCs w:val="32"/>
        </w:rPr>
        <w:t>五”规划奠定基础，按照《中华人民共和国各级人民代表大会常务委员会监督法》要求和国家、省、市的部署，现对我县“十三五”规划纲要实施情况进行中期评估，有关情况报告如下。</w:t>
      </w:r>
    </w:p>
    <w:p w:rsidR="00E25E05" w:rsidRPr="004E7090" w:rsidRDefault="00E25E05" w:rsidP="004E7090">
      <w:pPr>
        <w:ind w:firstLineChars="200" w:firstLine="640"/>
        <w:rPr>
          <w:rFonts w:ascii="黑体" w:eastAsia="黑体" w:hAnsi="黑体"/>
          <w:sz w:val="32"/>
          <w:szCs w:val="32"/>
        </w:rPr>
      </w:pPr>
      <w:r w:rsidRPr="004E7090">
        <w:rPr>
          <w:rFonts w:ascii="黑体" w:eastAsia="黑体" w:hAnsi="黑体" w:hint="eastAsia"/>
          <w:sz w:val="32"/>
          <w:szCs w:val="32"/>
        </w:rPr>
        <w:t>一、主要指标的完成情况</w:t>
      </w:r>
      <w:bookmarkEnd w:id="1"/>
      <w:bookmarkEnd w:id="2"/>
      <w:bookmarkEnd w:id="3"/>
      <w:bookmarkEnd w:id="4"/>
      <w:bookmarkEnd w:id="5"/>
    </w:p>
    <w:p w:rsidR="00AF1190" w:rsidRPr="004E7090" w:rsidRDefault="00C26456" w:rsidP="004E7090">
      <w:pPr>
        <w:ind w:firstLineChars="200" w:firstLine="640"/>
        <w:rPr>
          <w:rFonts w:ascii="仿宋" w:eastAsia="仿宋" w:hAnsi="仿宋"/>
          <w:sz w:val="32"/>
          <w:szCs w:val="32"/>
        </w:rPr>
      </w:pPr>
      <w:bookmarkStart w:id="6" w:name="_Toc361211694"/>
      <w:bookmarkStart w:id="7" w:name="_Toc361211762"/>
      <w:bookmarkStart w:id="8" w:name="_Toc361211816"/>
      <w:bookmarkStart w:id="9" w:name="_Toc361212129"/>
      <w:r w:rsidRPr="004E7090">
        <w:rPr>
          <w:rFonts w:ascii="仿宋" w:eastAsia="仿宋" w:hAnsi="仿宋" w:hint="eastAsia"/>
          <w:sz w:val="32"/>
          <w:szCs w:val="32"/>
        </w:rPr>
        <w:t>“十三五”以来，在</w:t>
      </w:r>
      <w:r w:rsidR="00B35251" w:rsidRPr="004E7090">
        <w:rPr>
          <w:rFonts w:ascii="仿宋" w:eastAsia="仿宋" w:hAnsi="仿宋" w:hint="eastAsia"/>
          <w:sz w:val="32"/>
          <w:szCs w:val="32"/>
        </w:rPr>
        <w:t>省</w:t>
      </w:r>
      <w:r w:rsidRPr="004E7090">
        <w:rPr>
          <w:rFonts w:ascii="仿宋" w:eastAsia="仿宋" w:hAnsi="仿宋" w:hint="eastAsia"/>
          <w:sz w:val="32"/>
          <w:szCs w:val="32"/>
        </w:rPr>
        <w:t>委省政府、市委市政府的正确领导下，在县人大及其常委会的监督支持下，我县</w:t>
      </w:r>
      <w:r w:rsidR="0039283D" w:rsidRPr="004E7090">
        <w:rPr>
          <w:rFonts w:ascii="仿宋" w:eastAsia="仿宋" w:hAnsi="仿宋" w:hint="eastAsia"/>
          <w:sz w:val="32"/>
          <w:szCs w:val="32"/>
        </w:rPr>
        <w:t>深入贯彻</w:t>
      </w:r>
      <w:r w:rsidRPr="004E7090">
        <w:rPr>
          <w:rFonts w:ascii="仿宋" w:eastAsia="仿宋" w:hAnsi="仿宋" w:hint="eastAsia"/>
          <w:sz w:val="32"/>
          <w:szCs w:val="32"/>
        </w:rPr>
        <w:t>“十三五”</w:t>
      </w:r>
      <w:r w:rsidR="0039283D" w:rsidRPr="004E7090">
        <w:rPr>
          <w:rFonts w:ascii="仿宋" w:eastAsia="仿宋" w:hAnsi="仿宋" w:hint="eastAsia"/>
          <w:sz w:val="32"/>
          <w:szCs w:val="32"/>
        </w:rPr>
        <w:t>发展原则和发展理念，坚定不移调结构，脚踏实地提质量，扎扎实实惠民生</w:t>
      </w:r>
      <w:r w:rsidRPr="004E7090">
        <w:rPr>
          <w:rFonts w:ascii="仿宋" w:eastAsia="仿宋" w:hAnsi="仿宋" w:hint="eastAsia"/>
          <w:sz w:val="32"/>
          <w:szCs w:val="32"/>
        </w:rPr>
        <w:t>。“十</w:t>
      </w:r>
      <w:r w:rsidR="0039283D" w:rsidRPr="004E7090">
        <w:rPr>
          <w:rFonts w:ascii="仿宋" w:eastAsia="仿宋" w:hAnsi="仿宋" w:hint="eastAsia"/>
          <w:sz w:val="32"/>
          <w:szCs w:val="32"/>
        </w:rPr>
        <w:t>三</w:t>
      </w:r>
      <w:r w:rsidRPr="004E7090">
        <w:rPr>
          <w:rFonts w:ascii="仿宋" w:eastAsia="仿宋" w:hAnsi="仿宋" w:hint="eastAsia"/>
          <w:sz w:val="32"/>
          <w:szCs w:val="32"/>
        </w:rPr>
        <w:t>五”前半期，全</w:t>
      </w:r>
      <w:r w:rsidR="0039283D" w:rsidRPr="004E7090">
        <w:rPr>
          <w:rFonts w:ascii="仿宋" w:eastAsia="仿宋" w:hAnsi="仿宋" w:hint="eastAsia"/>
          <w:sz w:val="32"/>
          <w:szCs w:val="32"/>
        </w:rPr>
        <w:t>县</w:t>
      </w:r>
      <w:r w:rsidRPr="004E7090">
        <w:rPr>
          <w:rFonts w:ascii="仿宋" w:eastAsia="仿宋" w:hAnsi="仿宋" w:hint="eastAsia"/>
          <w:sz w:val="32"/>
          <w:szCs w:val="32"/>
        </w:rPr>
        <w:t>经济运行总体平稳，发展质量效益稳步提高，社会建设全面加强。规划提出的</w:t>
      </w:r>
      <w:r w:rsidR="0039283D" w:rsidRPr="004E7090">
        <w:rPr>
          <w:rFonts w:ascii="仿宋" w:eastAsia="仿宋" w:hAnsi="仿宋" w:hint="eastAsia"/>
          <w:sz w:val="32"/>
          <w:szCs w:val="32"/>
        </w:rPr>
        <w:t>三</w:t>
      </w:r>
      <w:r w:rsidRPr="004E7090">
        <w:rPr>
          <w:rFonts w:ascii="仿宋" w:eastAsia="仿宋" w:hAnsi="仿宋" w:hint="eastAsia"/>
          <w:sz w:val="32"/>
          <w:szCs w:val="32"/>
        </w:rPr>
        <w:t>大类</w:t>
      </w:r>
      <w:r w:rsidR="00251FBA" w:rsidRPr="004E7090">
        <w:rPr>
          <w:rFonts w:ascii="仿宋" w:eastAsia="仿宋" w:hAnsi="仿宋" w:hint="eastAsia"/>
          <w:sz w:val="32"/>
          <w:szCs w:val="32"/>
        </w:rPr>
        <w:t>32</w:t>
      </w:r>
      <w:r w:rsidRPr="004E7090">
        <w:rPr>
          <w:rFonts w:ascii="仿宋" w:eastAsia="仿宋" w:hAnsi="仿宋" w:hint="eastAsia"/>
          <w:sz w:val="32"/>
          <w:szCs w:val="32"/>
        </w:rPr>
        <w:t>项指标中，</w:t>
      </w:r>
      <w:r w:rsidR="00D57B4D" w:rsidRPr="004E7090">
        <w:rPr>
          <w:rFonts w:ascii="仿宋" w:eastAsia="仿宋" w:hAnsi="仿宋" w:hint="eastAsia"/>
          <w:sz w:val="32"/>
          <w:szCs w:val="32"/>
        </w:rPr>
        <w:t xml:space="preserve"> </w:t>
      </w:r>
      <w:r w:rsidR="00CB5CF1" w:rsidRPr="004E7090">
        <w:rPr>
          <w:rFonts w:ascii="仿宋" w:eastAsia="仿宋" w:hAnsi="仿宋" w:hint="eastAsia"/>
          <w:sz w:val="32"/>
          <w:szCs w:val="32"/>
        </w:rPr>
        <w:t>3</w:t>
      </w:r>
      <w:r w:rsidR="00D57B4D" w:rsidRPr="004E7090">
        <w:rPr>
          <w:rFonts w:ascii="仿宋" w:eastAsia="仿宋" w:hAnsi="仿宋" w:hint="eastAsia"/>
          <w:sz w:val="32"/>
          <w:szCs w:val="32"/>
        </w:rPr>
        <w:t xml:space="preserve"> </w:t>
      </w:r>
      <w:r w:rsidRPr="004E7090">
        <w:rPr>
          <w:rFonts w:ascii="仿宋" w:eastAsia="仿宋" w:hAnsi="仿宋" w:hint="eastAsia"/>
          <w:sz w:val="32"/>
          <w:szCs w:val="32"/>
        </w:rPr>
        <w:t>项指标已提前完成规划期末目标，分别为</w:t>
      </w:r>
      <w:r w:rsidR="00CB5CF1" w:rsidRPr="004E7090">
        <w:rPr>
          <w:rFonts w:ascii="仿宋" w:eastAsia="仿宋" w:hAnsi="仿宋" w:hint="eastAsia"/>
          <w:sz w:val="32"/>
          <w:szCs w:val="32"/>
        </w:rPr>
        <w:t>第三产业增加值比重、每百万人口发明专利</w:t>
      </w:r>
      <w:r w:rsidR="00CB5CF1" w:rsidRPr="004E7090">
        <w:rPr>
          <w:rFonts w:ascii="仿宋" w:eastAsia="仿宋" w:hAnsi="仿宋" w:hint="eastAsia"/>
          <w:sz w:val="32"/>
          <w:szCs w:val="32"/>
        </w:rPr>
        <w:lastRenderedPageBreak/>
        <w:t>授权量</w:t>
      </w:r>
      <w:r w:rsidR="000171A8" w:rsidRPr="004E7090">
        <w:rPr>
          <w:rFonts w:ascii="仿宋" w:eastAsia="仿宋" w:hAnsi="仿宋" w:hint="eastAsia"/>
          <w:sz w:val="32"/>
          <w:szCs w:val="32"/>
        </w:rPr>
        <w:t>、</w:t>
      </w:r>
      <w:r w:rsidR="00CB5CF1" w:rsidRPr="004E7090">
        <w:rPr>
          <w:rFonts w:ascii="仿宋" w:eastAsia="仿宋" w:hAnsi="仿宋" w:hint="eastAsia"/>
          <w:sz w:val="32"/>
          <w:szCs w:val="32"/>
        </w:rPr>
        <w:t>城镇生活污水处理率</w:t>
      </w:r>
      <w:r w:rsidR="00D57B4D" w:rsidRPr="004E7090">
        <w:rPr>
          <w:rFonts w:ascii="仿宋" w:eastAsia="仿宋" w:hAnsi="仿宋" w:hint="eastAsia"/>
          <w:sz w:val="32"/>
          <w:szCs w:val="32"/>
        </w:rPr>
        <w:t xml:space="preserve">； </w:t>
      </w:r>
      <w:r w:rsidR="006E16E3" w:rsidRPr="004E7090">
        <w:rPr>
          <w:rFonts w:ascii="仿宋" w:eastAsia="仿宋" w:hAnsi="仿宋" w:hint="eastAsia"/>
          <w:sz w:val="32"/>
          <w:szCs w:val="32"/>
        </w:rPr>
        <w:t>1</w:t>
      </w:r>
      <w:r w:rsidR="0048428A">
        <w:rPr>
          <w:rFonts w:ascii="仿宋" w:eastAsia="仿宋" w:hAnsi="仿宋" w:hint="eastAsia"/>
          <w:sz w:val="32"/>
          <w:szCs w:val="32"/>
        </w:rPr>
        <w:t>5</w:t>
      </w:r>
      <w:r w:rsidR="00D57B4D" w:rsidRPr="004E7090">
        <w:rPr>
          <w:rFonts w:ascii="仿宋" w:eastAsia="仿宋" w:hAnsi="仿宋" w:hint="eastAsia"/>
          <w:sz w:val="32"/>
          <w:szCs w:val="32"/>
        </w:rPr>
        <w:t xml:space="preserve"> </w:t>
      </w:r>
      <w:r w:rsidRPr="004E7090">
        <w:rPr>
          <w:rFonts w:ascii="仿宋" w:eastAsia="仿宋" w:hAnsi="仿宋" w:hint="eastAsia"/>
          <w:sz w:val="32"/>
          <w:szCs w:val="32"/>
        </w:rPr>
        <w:t>项指标完成进度达到均衡进度或规划要求；</w:t>
      </w:r>
      <w:r w:rsidR="00CB5CF1" w:rsidRPr="004E7090">
        <w:rPr>
          <w:rFonts w:ascii="仿宋" w:eastAsia="仿宋" w:hAnsi="仿宋" w:hint="eastAsia"/>
          <w:sz w:val="32"/>
          <w:szCs w:val="32"/>
        </w:rPr>
        <w:t>1</w:t>
      </w:r>
      <w:r w:rsidR="0048428A">
        <w:rPr>
          <w:rFonts w:ascii="仿宋" w:eastAsia="仿宋" w:hAnsi="仿宋" w:hint="eastAsia"/>
          <w:sz w:val="32"/>
          <w:szCs w:val="32"/>
        </w:rPr>
        <w:t>4</w:t>
      </w:r>
      <w:r w:rsidRPr="004E7090">
        <w:rPr>
          <w:rFonts w:ascii="仿宋" w:eastAsia="仿宋" w:hAnsi="仿宋" w:hint="eastAsia"/>
          <w:sz w:val="32"/>
          <w:szCs w:val="32"/>
        </w:rPr>
        <w:t>项指标未达到均衡进度或规划要求。</w:t>
      </w:r>
    </w:p>
    <w:bookmarkEnd w:id="6"/>
    <w:bookmarkEnd w:id="7"/>
    <w:bookmarkEnd w:id="8"/>
    <w:bookmarkEnd w:id="9"/>
    <w:p w:rsidR="002539E8" w:rsidRPr="004E7090" w:rsidRDefault="002539E8" w:rsidP="004E7090">
      <w:pPr>
        <w:ind w:firstLineChars="200" w:firstLine="643"/>
        <w:rPr>
          <w:rFonts w:ascii="仿宋" w:eastAsia="仿宋" w:hAnsi="仿宋"/>
          <w:b/>
          <w:sz w:val="32"/>
          <w:szCs w:val="32"/>
        </w:rPr>
      </w:pPr>
      <w:r w:rsidRPr="004E7090">
        <w:rPr>
          <w:rFonts w:ascii="仿宋" w:eastAsia="仿宋" w:hAnsi="仿宋" w:hint="eastAsia"/>
          <w:b/>
          <w:sz w:val="32"/>
          <w:szCs w:val="32"/>
        </w:rPr>
        <w:t>（一）经济发展类指标完成情况</w:t>
      </w:r>
    </w:p>
    <w:p w:rsidR="00560F35" w:rsidRPr="004E7090" w:rsidRDefault="001E4EFE" w:rsidP="004E7090">
      <w:pPr>
        <w:ind w:firstLineChars="200" w:firstLine="640"/>
        <w:rPr>
          <w:rFonts w:ascii="仿宋" w:eastAsia="仿宋" w:hAnsi="仿宋"/>
          <w:sz w:val="32"/>
          <w:szCs w:val="32"/>
        </w:rPr>
      </w:pPr>
      <w:r w:rsidRPr="004E7090">
        <w:rPr>
          <w:rFonts w:ascii="仿宋" w:eastAsia="仿宋" w:hAnsi="仿宋" w:hint="eastAsia"/>
          <w:sz w:val="32"/>
          <w:szCs w:val="32"/>
        </w:rPr>
        <w:t>规划实施前两年全</w:t>
      </w:r>
      <w:r w:rsidR="0037045F" w:rsidRPr="004E7090">
        <w:rPr>
          <w:rFonts w:ascii="仿宋" w:eastAsia="仿宋" w:hAnsi="仿宋" w:hint="eastAsia"/>
          <w:sz w:val="32"/>
          <w:szCs w:val="32"/>
        </w:rPr>
        <w:t>县</w:t>
      </w:r>
      <w:r w:rsidR="00DD0CF7" w:rsidRPr="004E7090">
        <w:rPr>
          <w:rFonts w:ascii="仿宋" w:eastAsia="仿宋" w:hAnsi="仿宋" w:hint="eastAsia"/>
          <w:sz w:val="32"/>
          <w:szCs w:val="32"/>
        </w:rPr>
        <w:t>GDP</w:t>
      </w:r>
      <w:r w:rsidRPr="004E7090">
        <w:rPr>
          <w:rFonts w:ascii="仿宋" w:eastAsia="仿宋" w:hAnsi="仿宋" w:hint="eastAsia"/>
          <w:sz w:val="32"/>
          <w:szCs w:val="32"/>
        </w:rPr>
        <w:t>年均增长</w:t>
      </w:r>
      <w:r w:rsidR="009174C1" w:rsidRPr="004E7090">
        <w:rPr>
          <w:rFonts w:ascii="仿宋" w:eastAsia="仿宋" w:hAnsi="仿宋" w:hint="eastAsia"/>
          <w:sz w:val="32"/>
          <w:szCs w:val="32"/>
        </w:rPr>
        <w:t>8.3</w:t>
      </w:r>
      <w:r w:rsidR="00CB5CF1" w:rsidRPr="004E7090">
        <w:rPr>
          <w:rFonts w:ascii="仿宋" w:eastAsia="仿宋" w:hAnsi="仿宋" w:hint="eastAsia"/>
          <w:sz w:val="32"/>
          <w:szCs w:val="32"/>
        </w:rPr>
        <w:t>5</w:t>
      </w:r>
      <w:r w:rsidR="0037045F" w:rsidRPr="004E7090">
        <w:rPr>
          <w:rFonts w:ascii="仿宋" w:eastAsia="仿宋" w:hAnsi="仿宋" w:hint="eastAsia"/>
          <w:sz w:val="32"/>
          <w:szCs w:val="32"/>
        </w:rPr>
        <w:t>%，低于规划目标3.</w:t>
      </w:r>
      <w:r w:rsidR="00A139D2" w:rsidRPr="004E7090">
        <w:rPr>
          <w:rFonts w:ascii="仿宋" w:eastAsia="仿宋" w:hAnsi="仿宋" w:hint="eastAsia"/>
          <w:sz w:val="32"/>
          <w:szCs w:val="32"/>
        </w:rPr>
        <w:t>65</w:t>
      </w:r>
      <w:r w:rsidR="0037045F" w:rsidRPr="004E7090">
        <w:rPr>
          <w:rFonts w:ascii="仿宋" w:eastAsia="仿宋" w:hAnsi="仿宋" w:hint="eastAsia"/>
          <w:sz w:val="32"/>
          <w:szCs w:val="32"/>
        </w:rPr>
        <w:t>个百分点，2017年达到</w:t>
      </w:r>
      <w:r w:rsidR="0001072E" w:rsidRPr="004E7090">
        <w:rPr>
          <w:rFonts w:ascii="仿宋" w:eastAsia="仿宋" w:hAnsi="仿宋" w:hint="eastAsia"/>
          <w:sz w:val="32"/>
          <w:szCs w:val="32"/>
        </w:rPr>
        <w:t>80.5</w:t>
      </w:r>
      <w:r w:rsidR="0037045F" w:rsidRPr="004E7090">
        <w:rPr>
          <w:rFonts w:ascii="仿宋" w:eastAsia="仿宋" w:hAnsi="仿宋" w:hint="eastAsia"/>
          <w:sz w:val="32"/>
          <w:szCs w:val="32"/>
        </w:rPr>
        <w:t>亿元。人均地区生产总值年均增长</w:t>
      </w:r>
      <w:r w:rsidR="0001072E" w:rsidRPr="004E7090">
        <w:rPr>
          <w:rFonts w:ascii="仿宋" w:eastAsia="仿宋" w:hAnsi="仿宋" w:hint="eastAsia"/>
          <w:sz w:val="32"/>
          <w:szCs w:val="32"/>
        </w:rPr>
        <w:t>8</w:t>
      </w:r>
      <w:r w:rsidR="0037045F" w:rsidRPr="004E7090">
        <w:rPr>
          <w:rFonts w:ascii="仿宋" w:eastAsia="仿宋" w:hAnsi="仿宋" w:hint="eastAsia"/>
          <w:sz w:val="32"/>
          <w:szCs w:val="32"/>
        </w:rPr>
        <w:t>%，低于规划目标</w:t>
      </w:r>
      <w:r w:rsidR="00A139D2" w:rsidRPr="004E7090">
        <w:rPr>
          <w:rFonts w:ascii="仿宋" w:eastAsia="仿宋" w:hAnsi="仿宋" w:hint="eastAsia"/>
          <w:sz w:val="32"/>
          <w:szCs w:val="32"/>
        </w:rPr>
        <w:t>3.3</w:t>
      </w:r>
      <w:r w:rsidR="0037045F" w:rsidRPr="004E7090">
        <w:rPr>
          <w:rFonts w:ascii="仿宋" w:eastAsia="仿宋" w:hAnsi="仿宋" w:hint="eastAsia"/>
          <w:sz w:val="32"/>
          <w:szCs w:val="32"/>
        </w:rPr>
        <w:t>个百分点，2017年达到</w:t>
      </w:r>
      <w:r w:rsidR="009174C1" w:rsidRPr="004E7090">
        <w:rPr>
          <w:rFonts w:ascii="仿宋" w:eastAsia="仿宋" w:hAnsi="仿宋" w:hint="eastAsia"/>
          <w:sz w:val="32"/>
          <w:szCs w:val="32"/>
        </w:rPr>
        <w:t xml:space="preserve">  </w:t>
      </w:r>
      <w:r w:rsidR="0001072E" w:rsidRPr="004E7090">
        <w:rPr>
          <w:rFonts w:ascii="仿宋" w:eastAsia="仿宋" w:hAnsi="仿宋" w:hint="eastAsia"/>
          <w:sz w:val="32"/>
          <w:szCs w:val="32"/>
        </w:rPr>
        <w:t>20989</w:t>
      </w:r>
      <w:r w:rsidR="0037045F" w:rsidRPr="004E7090">
        <w:rPr>
          <w:rFonts w:ascii="仿宋" w:eastAsia="仿宋" w:hAnsi="仿宋" w:hint="eastAsia"/>
          <w:sz w:val="32"/>
          <w:szCs w:val="32"/>
        </w:rPr>
        <w:t>元。</w:t>
      </w:r>
      <w:r w:rsidR="009174C1" w:rsidRPr="004E7090">
        <w:rPr>
          <w:rFonts w:ascii="仿宋" w:eastAsia="仿宋" w:hAnsi="仿宋" w:hint="eastAsia"/>
          <w:sz w:val="32"/>
          <w:szCs w:val="32"/>
        </w:rPr>
        <w:t>第三产业增加值比重较2015年增加</w:t>
      </w:r>
      <w:r w:rsidR="00560F35" w:rsidRPr="004E7090">
        <w:rPr>
          <w:rFonts w:ascii="仿宋" w:eastAsia="仿宋" w:hAnsi="仿宋" w:hint="eastAsia"/>
          <w:sz w:val="32"/>
          <w:szCs w:val="32"/>
        </w:rPr>
        <w:t>1.</w:t>
      </w:r>
      <w:r w:rsidR="00CB5CF1" w:rsidRPr="004E7090">
        <w:rPr>
          <w:rFonts w:ascii="仿宋" w:eastAsia="仿宋" w:hAnsi="仿宋" w:hint="eastAsia"/>
          <w:sz w:val="32"/>
          <w:szCs w:val="32"/>
        </w:rPr>
        <w:t>6</w:t>
      </w:r>
      <w:r w:rsidR="009174C1" w:rsidRPr="004E7090">
        <w:rPr>
          <w:rFonts w:ascii="仿宋" w:eastAsia="仿宋" w:hAnsi="仿宋" w:hint="eastAsia"/>
          <w:sz w:val="32"/>
          <w:szCs w:val="32"/>
        </w:rPr>
        <w:t>个百分点，2017年达到</w:t>
      </w:r>
      <w:r w:rsidR="0001072E" w:rsidRPr="004E7090">
        <w:rPr>
          <w:rFonts w:ascii="仿宋" w:eastAsia="仿宋" w:hAnsi="仿宋" w:hint="eastAsia"/>
          <w:sz w:val="32"/>
          <w:szCs w:val="32"/>
        </w:rPr>
        <w:t>47.1</w:t>
      </w:r>
      <w:r w:rsidR="009174C1" w:rsidRPr="004E7090">
        <w:rPr>
          <w:rFonts w:ascii="仿宋" w:eastAsia="仿宋" w:hAnsi="仿宋" w:hint="eastAsia"/>
          <w:sz w:val="32"/>
          <w:szCs w:val="32"/>
        </w:rPr>
        <w:t>%</w:t>
      </w:r>
      <w:r w:rsidR="000171A8" w:rsidRPr="004E7090">
        <w:rPr>
          <w:rFonts w:ascii="仿宋" w:eastAsia="仿宋" w:hAnsi="仿宋" w:hint="eastAsia"/>
          <w:sz w:val="32"/>
          <w:szCs w:val="32"/>
        </w:rPr>
        <w:t>，已提前完成规划期末目标。</w:t>
      </w:r>
      <w:r w:rsidR="00560F35" w:rsidRPr="004E7090">
        <w:rPr>
          <w:rFonts w:ascii="仿宋" w:eastAsia="仿宋" w:hAnsi="仿宋" w:hint="eastAsia"/>
          <w:sz w:val="32"/>
          <w:szCs w:val="32"/>
        </w:rPr>
        <w:t>固定资产投资年均增长6.3</w:t>
      </w:r>
      <w:r w:rsidR="0001072E" w:rsidRPr="004E7090">
        <w:rPr>
          <w:rFonts w:ascii="仿宋" w:eastAsia="仿宋" w:hAnsi="仿宋" w:hint="eastAsia"/>
          <w:sz w:val="32"/>
          <w:szCs w:val="32"/>
        </w:rPr>
        <w:t>5</w:t>
      </w:r>
      <w:r w:rsidR="00560F35" w:rsidRPr="004E7090">
        <w:rPr>
          <w:rFonts w:ascii="仿宋" w:eastAsia="仿宋" w:hAnsi="仿宋" w:hint="eastAsia"/>
          <w:sz w:val="32"/>
          <w:szCs w:val="32"/>
        </w:rPr>
        <w:t>%，低于规划目标18.7个百分点，2017年达到78.02亿元。地方</w:t>
      </w:r>
      <w:r w:rsidR="00B770B4" w:rsidRPr="004E7090">
        <w:rPr>
          <w:rFonts w:ascii="仿宋" w:eastAsia="仿宋" w:hAnsi="仿宋" w:hint="eastAsia"/>
          <w:sz w:val="32"/>
          <w:szCs w:val="32"/>
        </w:rPr>
        <w:t>一般</w:t>
      </w:r>
      <w:r w:rsidR="00560F35" w:rsidRPr="004E7090">
        <w:rPr>
          <w:rFonts w:ascii="仿宋" w:eastAsia="仿宋" w:hAnsi="仿宋" w:hint="eastAsia"/>
          <w:sz w:val="32"/>
          <w:szCs w:val="32"/>
        </w:rPr>
        <w:t>公共预算收入年均增长</w:t>
      </w:r>
      <w:r w:rsidR="00FE173A" w:rsidRPr="004E7090">
        <w:rPr>
          <w:rFonts w:ascii="仿宋" w:eastAsia="仿宋" w:hAnsi="仿宋" w:hint="eastAsia"/>
          <w:sz w:val="32"/>
          <w:szCs w:val="32"/>
        </w:rPr>
        <w:t>1.</w:t>
      </w:r>
      <w:r w:rsidR="00B770B4" w:rsidRPr="004E7090">
        <w:rPr>
          <w:rFonts w:ascii="仿宋" w:eastAsia="仿宋" w:hAnsi="仿宋" w:hint="eastAsia"/>
          <w:sz w:val="32"/>
          <w:szCs w:val="32"/>
        </w:rPr>
        <w:t>06</w:t>
      </w:r>
      <w:r w:rsidR="00560F35" w:rsidRPr="004E7090">
        <w:rPr>
          <w:rFonts w:ascii="仿宋" w:eastAsia="仿宋" w:hAnsi="仿宋" w:hint="eastAsia"/>
          <w:sz w:val="32"/>
          <w:szCs w:val="32"/>
        </w:rPr>
        <w:t>%，低于规划目标</w:t>
      </w:r>
      <w:r w:rsidR="00FE173A" w:rsidRPr="004E7090">
        <w:rPr>
          <w:rFonts w:ascii="仿宋" w:eastAsia="仿宋" w:hAnsi="仿宋" w:hint="eastAsia"/>
          <w:sz w:val="32"/>
          <w:szCs w:val="32"/>
        </w:rPr>
        <w:t>13.9</w:t>
      </w:r>
      <w:r w:rsidR="00560F35" w:rsidRPr="004E7090">
        <w:rPr>
          <w:rFonts w:ascii="仿宋" w:eastAsia="仿宋" w:hAnsi="仿宋" w:hint="eastAsia"/>
          <w:sz w:val="32"/>
          <w:szCs w:val="32"/>
        </w:rPr>
        <w:t>个百分点，2017年达到9.7亿元。每百万人口发明专利授权量年均增长</w:t>
      </w:r>
      <w:r w:rsidR="00FE173A" w:rsidRPr="004E7090">
        <w:rPr>
          <w:rFonts w:ascii="仿宋" w:eastAsia="仿宋" w:hAnsi="仿宋" w:hint="eastAsia"/>
          <w:sz w:val="32"/>
          <w:szCs w:val="32"/>
        </w:rPr>
        <w:t>69.2</w:t>
      </w:r>
      <w:r w:rsidR="00560F35" w:rsidRPr="004E7090">
        <w:rPr>
          <w:rFonts w:ascii="仿宋" w:eastAsia="仿宋" w:hAnsi="仿宋" w:hint="eastAsia"/>
          <w:sz w:val="32"/>
          <w:szCs w:val="32"/>
        </w:rPr>
        <w:t xml:space="preserve">%，高出规划目标 </w:t>
      </w:r>
      <w:r w:rsidR="00C06E2A" w:rsidRPr="004E7090">
        <w:rPr>
          <w:rFonts w:ascii="仿宋" w:eastAsia="仿宋" w:hAnsi="仿宋" w:hint="eastAsia"/>
          <w:sz w:val="32"/>
          <w:szCs w:val="32"/>
        </w:rPr>
        <w:t>6</w:t>
      </w:r>
      <w:r w:rsidR="00FE173A" w:rsidRPr="004E7090">
        <w:rPr>
          <w:rFonts w:ascii="仿宋" w:eastAsia="仿宋" w:hAnsi="仿宋" w:hint="eastAsia"/>
          <w:sz w:val="32"/>
          <w:szCs w:val="32"/>
        </w:rPr>
        <w:t>1</w:t>
      </w:r>
      <w:r w:rsidR="00560F35" w:rsidRPr="004E7090">
        <w:rPr>
          <w:rFonts w:ascii="仿宋" w:eastAsia="仿宋" w:hAnsi="仿宋" w:hint="eastAsia"/>
          <w:sz w:val="32"/>
          <w:szCs w:val="32"/>
        </w:rPr>
        <w:t xml:space="preserve">    个百分点，2017年达到</w:t>
      </w:r>
      <w:r w:rsidR="00FE173A" w:rsidRPr="004E7090">
        <w:rPr>
          <w:rFonts w:ascii="仿宋" w:eastAsia="仿宋" w:hAnsi="仿宋" w:hint="eastAsia"/>
          <w:sz w:val="32"/>
          <w:szCs w:val="32"/>
        </w:rPr>
        <w:t>20.9</w:t>
      </w:r>
      <w:r w:rsidR="00560F35" w:rsidRPr="004E7090">
        <w:rPr>
          <w:rFonts w:ascii="仿宋" w:eastAsia="仿宋" w:hAnsi="仿宋" w:hint="eastAsia"/>
          <w:sz w:val="32"/>
          <w:szCs w:val="32"/>
        </w:rPr>
        <w:t>件。社会消费品零售总额年均增长</w:t>
      </w:r>
      <w:r w:rsidR="00FE173A" w:rsidRPr="004E7090">
        <w:rPr>
          <w:rFonts w:ascii="仿宋" w:eastAsia="仿宋" w:hAnsi="仿宋" w:hint="eastAsia"/>
          <w:sz w:val="32"/>
          <w:szCs w:val="32"/>
        </w:rPr>
        <w:t>9.9</w:t>
      </w:r>
      <w:r w:rsidR="00560F35" w:rsidRPr="004E7090">
        <w:rPr>
          <w:rFonts w:ascii="仿宋" w:eastAsia="仿宋" w:hAnsi="仿宋" w:hint="eastAsia"/>
          <w:sz w:val="32"/>
          <w:szCs w:val="32"/>
        </w:rPr>
        <w:t>%，低于规划目标3.</w:t>
      </w:r>
      <w:r w:rsidR="00FE173A" w:rsidRPr="004E7090">
        <w:rPr>
          <w:rFonts w:ascii="仿宋" w:eastAsia="仿宋" w:hAnsi="仿宋" w:hint="eastAsia"/>
          <w:sz w:val="32"/>
          <w:szCs w:val="32"/>
        </w:rPr>
        <w:t>1</w:t>
      </w:r>
      <w:r w:rsidR="00560F35" w:rsidRPr="004E7090">
        <w:rPr>
          <w:rFonts w:ascii="仿宋" w:eastAsia="仿宋" w:hAnsi="仿宋" w:hint="eastAsia"/>
          <w:sz w:val="32"/>
          <w:szCs w:val="32"/>
        </w:rPr>
        <w:t>个百分点，2017年达到53.7亿元。进出口总额</w:t>
      </w:r>
      <w:r w:rsidR="0041607C" w:rsidRPr="004E7090">
        <w:rPr>
          <w:rFonts w:ascii="仿宋" w:eastAsia="仿宋" w:hAnsi="仿宋" w:hint="eastAsia"/>
          <w:sz w:val="32"/>
          <w:szCs w:val="32"/>
        </w:rPr>
        <w:t>年均</w:t>
      </w:r>
      <w:r w:rsidR="00CD6B3A" w:rsidRPr="004E7090">
        <w:rPr>
          <w:rFonts w:ascii="仿宋" w:eastAsia="仿宋" w:hAnsi="仿宋" w:hint="eastAsia"/>
          <w:sz w:val="32"/>
          <w:szCs w:val="32"/>
        </w:rPr>
        <w:t>下降</w:t>
      </w:r>
      <w:r w:rsidR="00FE173A" w:rsidRPr="004E7090">
        <w:rPr>
          <w:rFonts w:ascii="仿宋" w:eastAsia="仿宋" w:hAnsi="仿宋" w:hint="eastAsia"/>
          <w:sz w:val="32"/>
          <w:szCs w:val="32"/>
        </w:rPr>
        <w:t>10.8</w:t>
      </w:r>
      <w:r w:rsidR="00CD6B3A" w:rsidRPr="004E7090">
        <w:rPr>
          <w:rFonts w:ascii="仿宋" w:eastAsia="仿宋" w:hAnsi="仿宋" w:hint="eastAsia"/>
          <w:sz w:val="32"/>
          <w:szCs w:val="32"/>
        </w:rPr>
        <w:t xml:space="preserve"> </w:t>
      </w:r>
      <w:r w:rsidR="0041607C" w:rsidRPr="004E7090">
        <w:rPr>
          <w:rFonts w:ascii="仿宋" w:eastAsia="仿宋" w:hAnsi="仿宋" w:hint="eastAsia"/>
          <w:sz w:val="32"/>
          <w:szCs w:val="32"/>
        </w:rPr>
        <w:t>%，</w:t>
      </w:r>
      <w:r w:rsidR="00FE173A" w:rsidRPr="004E7090">
        <w:rPr>
          <w:rFonts w:ascii="仿宋" w:eastAsia="仿宋" w:hAnsi="仿宋" w:hint="eastAsia"/>
          <w:sz w:val="32"/>
          <w:szCs w:val="32"/>
        </w:rPr>
        <w:t>低于</w:t>
      </w:r>
      <w:r w:rsidR="0041607C" w:rsidRPr="004E7090">
        <w:rPr>
          <w:rFonts w:ascii="仿宋" w:eastAsia="仿宋" w:hAnsi="仿宋" w:hint="eastAsia"/>
          <w:sz w:val="32"/>
          <w:szCs w:val="32"/>
        </w:rPr>
        <w:t>规划目标</w:t>
      </w:r>
      <w:r w:rsidR="00FE173A" w:rsidRPr="004E7090">
        <w:rPr>
          <w:rFonts w:ascii="仿宋" w:eastAsia="仿宋" w:hAnsi="仿宋" w:hint="eastAsia"/>
          <w:sz w:val="32"/>
          <w:szCs w:val="32"/>
        </w:rPr>
        <w:t>18.8个</w:t>
      </w:r>
      <w:r w:rsidR="0041607C" w:rsidRPr="004E7090">
        <w:rPr>
          <w:rFonts w:ascii="仿宋" w:eastAsia="仿宋" w:hAnsi="仿宋" w:hint="eastAsia"/>
          <w:sz w:val="32"/>
          <w:szCs w:val="32"/>
        </w:rPr>
        <w:t>百分点，2017年</w:t>
      </w:r>
      <w:r w:rsidR="00FE173A" w:rsidRPr="004E7090">
        <w:rPr>
          <w:rFonts w:ascii="仿宋" w:eastAsia="仿宋" w:hAnsi="仿宋" w:hint="eastAsia"/>
          <w:sz w:val="32"/>
          <w:szCs w:val="32"/>
        </w:rPr>
        <w:t>为</w:t>
      </w:r>
      <w:r w:rsidR="00A139D2" w:rsidRPr="004E7090">
        <w:rPr>
          <w:rFonts w:ascii="仿宋" w:eastAsia="仿宋" w:hAnsi="仿宋" w:hint="eastAsia"/>
          <w:sz w:val="32"/>
          <w:szCs w:val="32"/>
        </w:rPr>
        <w:t>2.1</w:t>
      </w:r>
      <w:r w:rsidR="0041607C" w:rsidRPr="004E7090">
        <w:rPr>
          <w:rFonts w:ascii="仿宋" w:eastAsia="仿宋" w:hAnsi="仿宋" w:hint="eastAsia"/>
          <w:sz w:val="32"/>
          <w:szCs w:val="32"/>
        </w:rPr>
        <w:t>亿美元。</w:t>
      </w:r>
      <w:r w:rsidR="00512FB3" w:rsidRPr="004E7090">
        <w:rPr>
          <w:rFonts w:ascii="仿宋" w:eastAsia="仿宋" w:hAnsi="仿宋" w:hint="eastAsia"/>
          <w:sz w:val="32"/>
          <w:szCs w:val="32"/>
        </w:rPr>
        <w:t xml:space="preserve">城镇化水平比2015年增加  </w:t>
      </w:r>
      <w:r w:rsidR="0001072E" w:rsidRPr="004E7090">
        <w:rPr>
          <w:rFonts w:ascii="仿宋" w:eastAsia="仿宋" w:hAnsi="仿宋" w:hint="eastAsia"/>
          <w:sz w:val="32"/>
          <w:szCs w:val="32"/>
        </w:rPr>
        <w:t>0.</w:t>
      </w:r>
      <w:r w:rsidR="00FE173A" w:rsidRPr="004E7090">
        <w:rPr>
          <w:rFonts w:ascii="仿宋" w:eastAsia="仿宋" w:hAnsi="仿宋" w:hint="eastAsia"/>
          <w:sz w:val="32"/>
          <w:szCs w:val="32"/>
        </w:rPr>
        <w:t>8</w:t>
      </w:r>
      <w:r w:rsidR="0001072E" w:rsidRPr="004E7090">
        <w:rPr>
          <w:rFonts w:ascii="仿宋" w:eastAsia="仿宋" w:hAnsi="仿宋" w:hint="eastAsia"/>
          <w:sz w:val="32"/>
          <w:szCs w:val="32"/>
        </w:rPr>
        <w:t>3</w:t>
      </w:r>
      <w:r w:rsidR="00512FB3" w:rsidRPr="004E7090">
        <w:rPr>
          <w:rFonts w:ascii="仿宋" w:eastAsia="仿宋" w:hAnsi="仿宋" w:hint="eastAsia"/>
          <w:sz w:val="32"/>
          <w:szCs w:val="32"/>
        </w:rPr>
        <w:t>个百分点，2017年达到</w:t>
      </w:r>
      <w:r w:rsidR="0001072E" w:rsidRPr="004E7090">
        <w:rPr>
          <w:rFonts w:ascii="仿宋" w:eastAsia="仿宋" w:hAnsi="仿宋" w:hint="eastAsia"/>
          <w:sz w:val="32"/>
          <w:szCs w:val="32"/>
        </w:rPr>
        <w:t>45.84</w:t>
      </w:r>
      <w:r w:rsidR="00512FB3" w:rsidRPr="004E7090">
        <w:rPr>
          <w:rFonts w:ascii="仿宋" w:eastAsia="仿宋" w:hAnsi="仿宋" w:hint="eastAsia"/>
          <w:sz w:val="32"/>
          <w:szCs w:val="32"/>
        </w:rPr>
        <w:t xml:space="preserve">%。旅游总收入年均增长 </w:t>
      </w:r>
      <w:r w:rsidR="00FE173A" w:rsidRPr="004E7090">
        <w:rPr>
          <w:rFonts w:ascii="仿宋" w:eastAsia="仿宋" w:hAnsi="仿宋" w:hint="eastAsia"/>
          <w:sz w:val="32"/>
          <w:szCs w:val="32"/>
        </w:rPr>
        <w:t>19.2</w:t>
      </w:r>
      <w:r w:rsidR="00512FB3" w:rsidRPr="004E7090">
        <w:rPr>
          <w:rFonts w:ascii="仿宋" w:eastAsia="仿宋" w:hAnsi="仿宋" w:hint="eastAsia"/>
          <w:sz w:val="32"/>
          <w:szCs w:val="32"/>
        </w:rPr>
        <w:t>%，2017年达到</w:t>
      </w:r>
      <w:r w:rsidR="00E706C8" w:rsidRPr="004E7090">
        <w:rPr>
          <w:rFonts w:ascii="仿宋" w:eastAsia="仿宋" w:hAnsi="仿宋" w:hint="eastAsia"/>
          <w:sz w:val="32"/>
          <w:szCs w:val="32"/>
        </w:rPr>
        <w:t>33.84</w:t>
      </w:r>
      <w:r w:rsidR="00512FB3" w:rsidRPr="004E7090">
        <w:rPr>
          <w:rFonts w:ascii="仿宋" w:eastAsia="仿宋" w:hAnsi="仿宋" w:hint="eastAsia"/>
          <w:sz w:val="32"/>
          <w:szCs w:val="32"/>
        </w:rPr>
        <w:t>亿元。</w:t>
      </w:r>
    </w:p>
    <w:p w:rsidR="00512FB3" w:rsidRPr="004E7090" w:rsidRDefault="00512FB3" w:rsidP="004E7090">
      <w:pPr>
        <w:ind w:firstLineChars="200" w:firstLine="643"/>
        <w:rPr>
          <w:rFonts w:ascii="仿宋" w:eastAsia="仿宋" w:hAnsi="仿宋"/>
          <w:b/>
          <w:sz w:val="32"/>
          <w:szCs w:val="32"/>
        </w:rPr>
      </w:pPr>
      <w:r w:rsidRPr="004E7090">
        <w:rPr>
          <w:rFonts w:ascii="仿宋" w:eastAsia="仿宋" w:hAnsi="仿宋" w:hint="eastAsia"/>
          <w:b/>
          <w:sz w:val="32"/>
          <w:szCs w:val="32"/>
        </w:rPr>
        <w:t>（二）社会发展类指标完成情况</w:t>
      </w:r>
    </w:p>
    <w:p w:rsidR="00512FB3" w:rsidRPr="004E7090" w:rsidRDefault="00512FB3" w:rsidP="004E7090">
      <w:pPr>
        <w:ind w:firstLineChars="200" w:firstLine="640"/>
        <w:rPr>
          <w:rFonts w:ascii="仿宋" w:eastAsia="仿宋" w:hAnsi="仿宋"/>
          <w:sz w:val="32"/>
          <w:szCs w:val="32"/>
        </w:rPr>
      </w:pPr>
      <w:r w:rsidRPr="004E7090">
        <w:rPr>
          <w:rFonts w:ascii="仿宋" w:eastAsia="仿宋" w:hAnsi="仿宋" w:hint="eastAsia"/>
          <w:sz w:val="32"/>
          <w:szCs w:val="32"/>
        </w:rPr>
        <w:t>基本公共服务支出占</w:t>
      </w:r>
      <w:r w:rsidR="00B770B4" w:rsidRPr="004E7090">
        <w:rPr>
          <w:rFonts w:ascii="仿宋" w:eastAsia="仿宋" w:hAnsi="仿宋" w:hint="eastAsia"/>
          <w:sz w:val="32"/>
          <w:szCs w:val="32"/>
        </w:rPr>
        <w:t>一般</w:t>
      </w:r>
      <w:r w:rsidRPr="004E7090">
        <w:rPr>
          <w:rFonts w:ascii="仿宋" w:eastAsia="仿宋" w:hAnsi="仿宋" w:hint="eastAsia"/>
          <w:sz w:val="32"/>
          <w:szCs w:val="32"/>
        </w:rPr>
        <w:t>公共预算支出的比重比2015年增加</w:t>
      </w:r>
      <w:r w:rsidR="00A139D2" w:rsidRPr="004E7090">
        <w:rPr>
          <w:rFonts w:ascii="仿宋" w:eastAsia="仿宋" w:hAnsi="仿宋" w:hint="eastAsia"/>
          <w:sz w:val="32"/>
          <w:szCs w:val="32"/>
        </w:rPr>
        <w:t>9.39</w:t>
      </w:r>
      <w:r w:rsidRPr="004E7090">
        <w:rPr>
          <w:rFonts w:ascii="仿宋" w:eastAsia="仿宋" w:hAnsi="仿宋" w:hint="eastAsia"/>
          <w:sz w:val="32"/>
          <w:szCs w:val="32"/>
        </w:rPr>
        <w:t>个百分点，2017年达到</w:t>
      </w:r>
      <w:r w:rsidR="00A139D2" w:rsidRPr="004E7090">
        <w:rPr>
          <w:rFonts w:ascii="仿宋" w:eastAsia="仿宋" w:hAnsi="仿宋" w:hint="eastAsia"/>
          <w:sz w:val="32"/>
          <w:szCs w:val="32"/>
        </w:rPr>
        <w:t>54.35</w:t>
      </w:r>
      <w:r w:rsidRPr="004E7090">
        <w:rPr>
          <w:rFonts w:ascii="仿宋" w:eastAsia="仿宋" w:hAnsi="仿宋" w:hint="eastAsia"/>
          <w:sz w:val="32"/>
          <w:szCs w:val="32"/>
        </w:rPr>
        <w:t>%。城乡居民人均可支配收入年均增长</w:t>
      </w:r>
      <w:r w:rsidR="00754356" w:rsidRPr="004E7090">
        <w:rPr>
          <w:rFonts w:ascii="仿宋" w:eastAsia="仿宋" w:hAnsi="仿宋" w:hint="eastAsia"/>
          <w:sz w:val="32"/>
          <w:szCs w:val="32"/>
        </w:rPr>
        <w:t>10.11</w:t>
      </w:r>
      <w:r w:rsidRPr="004E7090">
        <w:rPr>
          <w:rFonts w:ascii="仿宋" w:eastAsia="仿宋" w:hAnsi="仿宋" w:hint="eastAsia"/>
          <w:sz w:val="32"/>
          <w:szCs w:val="32"/>
        </w:rPr>
        <w:t>%，高于规划目标</w:t>
      </w:r>
      <w:r w:rsidR="00FE173A" w:rsidRPr="004E7090">
        <w:rPr>
          <w:rFonts w:ascii="仿宋" w:eastAsia="仿宋" w:hAnsi="仿宋" w:hint="eastAsia"/>
          <w:sz w:val="32"/>
          <w:szCs w:val="32"/>
        </w:rPr>
        <w:t>0.81</w:t>
      </w:r>
      <w:r w:rsidRPr="004E7090">
        <w:rPr>
          <w:rFonts w:ascii="仿宋" w:eastAsia="仿宋" w:hAnsi="仿宋" w:hint="eastAsia"/>
          <w:sz w:val="32"/>
          <w:szCs w:val="32"/>
        </w:rPr>
        <w:t>个百分点，</w:t>
      </w:r>
      <w:r w:rsidRPr="004E7090">
        <w:rPr>
          <w:rFonts w:ascii="仿宋" w:eastAsia="仿宋" w:hAnsi="仿宋" w:hint="eastAsia"/>
          <w:sz w:val="32"/>
          <w:szCs w:val="32"/>
        </w:rPr>
        <w:lastRenderedPageBreak/>
        <w:t>2017年达到</w:t>
      </w:r>
      <w:r w:rsidR="00754356" w:rsidRPr="004E7090">
        <w:rPr>
          <w:rFonts w:ascii="仿宋" w:eastAsia="仿宋" w:hAnsi="仿宋" w:hint="eastAsia"/>
          <w:sz w:val="32"/>
          <w:szCs w:val="32"/>
        </w:rPr>
        <w:t>16857</w:t>
      </w:r>
      <w:r w:rsidRPr="004E7090">
        <w:rPr>
          <w:rFonts w:ascii="仿宋" w:eastAsia="仿宋" w:hAnsi="仿宋" w:hint="eastAsia"/>
          <w:sz w:val="32"/>
          <w:szCs w:val="32"/>
        </w:rPr>
        <w:t>元。</w:t>
      </w:r>
      <w:r w:rsidR="00735C35" w:rsidRPr="004E7090">
        <w:rPr>
          <w:rFonts w:ascii="仿宋" w:eastAsia="仿宋" w:hAnsi="仿宋" w:hint="eastAsia"/>
          <w:sz w:val="32"/>
          <w:szCs w:val="32"/>
        </w:rPr>
        <w:t>城镇登记失业率(或城镇调查失业率)</w:t>
      </w:r>
      <w:r w:rsidR="004D7419" w:rsidRPr="004E7090">
        <w:rPr>
          <w:rFonts w:ascii="仿宋" w:eastAsia="仿宋" w:hAnsi="仿宋" w:hint="eastAsia"/>
          <w:sz w:val="32"/>
          <w:szCs w:val="32"/>
        </w:rPr>
        <w:t xml:space="preserve"> 控制在3.5%的规划目标范围之内</w:t>
      </w:r>
      <w:r w:rsidR="002D3CB7" w:rsidRPr="004E7090">
        <w:rPr>
          <w:rFonts w:ascii="仿宋" w:eastAsia="仿宋" w:hAnsi="仿宋" w:hint="eastAsia"/>
          <w:sz w:val="32"/>
          <w:szCs w:val="32"/>
        </w:rPr>
        <w:t>；2016年至今年上半年城镇新增就业人数累计</w:t>
      </w:r>
      <w:r w:rsidR="00D44652" w:rsidRPr="004E7090">
        <w:rPr>
          <w:rFonts w:ascii="仿宋" w:eastAsia="仿宋" w:hAnsi="仿宋" w:hint="eastAsia"/>
          <w:sz w:val="32"/>
          <w:szCs w:val="32"/>
        </w:rPr>
        <w:t>2.16</w:t>
      </w:r>
      <w:r w:rsidR="002D3CB7" w:rsidRPr="004E7090">
        <w:rPr>
          <w:rFonts w:ascii="仿宋" w:eastAsia="仿宋" w:hAnsi="仿宋" w:hint="eastAsia"/>
          <w:sz w:val="32"/>
          <w:szCs w:val="32"/>
        </w:rPr>
        <w:t>万人；新增转移就业劳动力累计</w:t>
      </w:r>
      <w:r w:rsidR="00D44652" w:rsidRPr="004E7090">
        <w:rPr>
          <w:rFonts w:ascii="仿宋" w:eastAsia="仿宋" w:hAnsi="仿宋" w:hint="eastAsia"/>
          <w:sz w:val="32"/>
          <w:szCs w:val="32"/>
        </w:rPr>
        <w:t>5.89</w:t>
      </w:r>
      <w:r w:rsidR="002D3CB7" w:rsidRPr="004E7090">
        <w:rPr>
          <w:rFonts w:ascii="仿宋" w:eastAsia="仿宋" w:hAnsi="仿宋" w:hint="eastAsia"/>
          <w:sz w:val="32"/>
          <w:szCs w:val="32"/>
        </w:rPr>
        <w:t xml:space="preserve">万人。高中阶段教育毛入学率比2015年增加     </w:t>
      </w:r>
      <w:r w:rsidR="009D5C67" w:rsidRPr="004E7090">
        <w:rPr>
          <w:rFonts w:ascii="仿宋" w:eastAsia="仿宋" w:hAnsi="仿宋" w:hint="eastAsia"/>
          <w:sz w:val="32"/>
          <w:szCs w:val="32"/>
        </w:rPr>
        <w:t>0.2</w:t>
      </w:r>
      <w:r w:rsidR="002D3CB7" w:rsidRPr="004E7090">
        <w:rPr>
          <w:rFonts w:ascii="仿宋" w:eastAsia="仿宋" w:hAnsi="仿宋" w:hint="eastAsia"/>
          <w:sz w:val="32"/>
          <w:szCs w:val="32"/>
        </w:rPr>
        <w:t>个百分点，2017年达到</w:t>
      </w:r>
      <w:r w:rsidR="009D5C67" w:rsidRPr="004E7090">
        <w:rPr>
          <w:rFonts w:ascii="仿宋" w:eastAsia="仿宋" w:hAnsi="仿宋" w:hint="eastAsia"/>
          <w:sz w:val="32"/>
          <w:szCs w:val="32"/>
        </w:rPr>
        <w:t>95.55</w:t>
      </w:r>
      <w:r w:rsidR="002D3CB7" w:rsidRPr="004E7090">
        <w:rPr>
          <w:rFonts w:ascii="仿宋" w:eastAsia="仿宋" w:hAnsi="仿宋" w:hint="eastAsia"/>
          <w:sz w:val="32"/>
          <w:szCs w:val="32"/>
        </w:rPr>
        <w:t>%。城镇职工基本养老保险参保率</w:t>
      </w:r>
      <w:r w:rsidR="006922F2" w:rsidRPr="004E7090">
        <w:rPr>
          <w:rFonts w:ascii="仿宋" w:eastAsia="仿宋" w:hAnsi="仿宋" w:hint="eastAsia"/>
          <w:sz w:val="32"/>
          <w:szCs w:val="32"/>
        </w:rPr>
        <w:t>比2015年增加0.5个百分点，2017年达到78.5%，</w:t>
      </w:r>
      <w:r w:rsidR="002D3CB7" w:rsidRPr="004E7090">
        <w:rPr>
          <w:rFonts w:ascii="仿宋" w:eastAsia="仿宋" w:hAnsi="仿宋" w:hint="eastAsia"/>
          <w:sz w:val="32"/>
          <w:szCs w:val="32"/>
        </w:rPr>
        <w:t>城</w:t>
      </w:r>
      <w:r w:rsidR="00AF3877" w:rsidRPr="004E7090">
        <w:rPr>
          <w:rFonts w:ascii="仿宋" w:eastAsia="仿宋" w:hAnsi="仿宋" w:hint="eastAsia"/>
          <w:sz w:val="32"/>
          <w:szCs w:val="32"/>
        </w:rPr>
        <w:t>乡</w:t>
      </w:r>
      <w:r w:rsidR="002D3CB7" w:rsidRPr="004E7090">
        <w:rPr>
          <w:rFonts w:ascii="仿宋" w:eastAsia="仿宋" w:hAnsi="仿宋" w:hint="eastAsia"/>
          <w:sz w:val="32"/>
          <w:szCs w:val="32"/>
        </w:rPr>
        <w:t>基本医疗保险参保率</w:t>
      </w:r>
      <w:r w:rsidR="00A139D2" w:rsidRPr="004E7090">
        <w:rPr>
          <w:rFonts w:ascii="仿宋" w:eastAsia="仿宋" w:hAnsi="仿宋" w:hint="eastAsia"/>
          <w:sz w:val="32"/>
          <w:szCs w:val="32"/>
        </w:rPr>
        <w:t>、</w:t>
      </w:r>
      <w:r w:rsidR="002D3CB7" w:rsidRPr="004E7090">
        <w:rPr>
          <w:rFonts w:ascii="仿宋" w:eastAsia="仿宋" w:hAnsi="仿宋" w:hint="eastAsia"/>
          <w:sz w:val="32"/>
          <w:szCs w:val="32"/>
        </w:rPr>
        <w:t>新型农村合作医疗覆盖率</w:t>
      </w:r>
      <w:r w:rsidR="00A139D2" w:rsidRPr="004E7090">
        <w:rPr>
          <w:rFonts w:ascii="仿宋" w:eastAsia="仿宋" w:hAnsi="仿宋" w:hint="eastAsia"/>
          <w:sz w:val="32"/>
          <w:szCs w:val="32"/>
        </w:rPr>
        <w:t>均</w:t>
      </w:r>
      <w:r w:rsidR="002D3CB7" w:rsidRPr="004E7090">
        <w:rPr>
          <w:rFonts w:ascii="仿宋" w:eastAsia="仿宋" w:hAnsi="仿宋" w:hint="eastAsia"/>
          <w:sz w:val="32"/>
          <w:szCs w:val="32"/>
        </w:rPr>
        <w:t xml:space="preserve">达到  </w:t>
      </w:r>
      <w:r w:rsidR="00AF3877" w:rsidRPr="004E7090">
        <w:rPr>
          <w:rFonts w:ascii="仿宋" w:eastAsia="仿宋" w:hAnsi="仿宋" w:hint="eastAsia"/>
          <w:sz w:val="32"/>
          <w:szCs w:val="32"/>
        </w:rPr>
        <w:t>100</w:t>
      </w:r>
      <w:r w:rsidR="002D3CB7" w:rsidRPr="004E7090">
        <w:rPr>
          <w:rFonts w:ascii="仿宋" w:eastAsia="仿宋" w:hAnsi="仿宋" w:hint="eastAsia"/>
          <w:sz w:val="32"/>
          <w:szCs w:val="32"/>
        </w:rPr>
        <w:t>%。2017年常住人口为</w:t>
      </w:r>
      <w:r w:rsidR="00A139D2" w:rsidRPr="004E7090">
        <w:rPr>
          <w:rFonts w:ascii="仿宋" w:eastAsia="仿宋" w:hAnsi="仿宋" w:hint="eastAsia"/>
          <w:sz w:val="32"/>
          <w:szCs w:val="32"/>
        </w:rPr>
        <w:t>38.38</w:t>
      </w:r>
      <w:r w:rsidR="002D3CB7" w:rsidRPr="004E7090">
        <w:rPr>
          <w:rFonts w:ascii="仿宋" w:eastAsia="仿宋" w:hAnsi="仿宋" w:hint="eastAsia"/>
          <w:sz w:val="32"/>
          <w:szCs w:val="32"/>
        </w:rPr>
        <w:t xml:space="preserve">万人，两年年均增长 </w:t>
      </w:r>
      <w:r w:rsidR="006A75E5" w:rsidRPr="004E7090">
        <w:rPr>
          <w:rFonts w:ascii="仿宋" w:eastAsia="仿宋" w:hAnsi="仿宋" w:hint="eastAsia"/>
          <w:sz w:val="32"/>
          <w:szCs w:val="32"/>
        </w:rPr>
        <w:t>0.26</w:t>
      </w:r>
      <w:r w:rsidR="002D3CB7" w:rsidRPr="004E7090">
        <w:rPr>
          <w:rFonts w:ascii="仿宋" w:eastAsia="仿宋" w:hAnsi="仿宋" w:hint="eastAsia"/>
          <w:sz w:val="32"/>
          <w:szCs w:val="32"/>
        </w:rPr>
        <w:t>%；人口自然增长率均控制在</w:t>
      </w:r>
      <w:r w:rsidR="00447CD4" w:rsidRPr="004E7090">
        <w:rPr>
          <w:rFonts w:ascii="仿宋" w:eastAsia="仿宋" w:hAnsi="仿宋" w:hint="eastAsia"/>
          <w:sz w:val="32"/>
          <w:szCs w:val="32"/>
        </w:rPr>
        <w:t>9.8</w:t>
      </w:r>
      <w:r w:rsidR="002D3CB7" w:rsidRPr="004E7090">
        <w:rPr>
          <w:rFonts w:ascii="仿宋" w:eastAsia="仿宋" w:hAnsi="仿宋" w:hint="eastAsia"/>
          <w:sz w:val="32"/>
          <w:szCs w:val="32"/>
        </w:rPr>
        <w:t>%之下。平均每千人口拥有医生数年均增长</w:t>
      </w:r>
      <w:r w:rsidR="00447CD4" w:rsidRPr="004E7090">
        <w:rPr>
          <w:rFonts w:ascii="仿宋" w:eastAsia="仿宋" w:hAnsi="仿宋" w:hint="eastAsia"/>
          <w:sz w:val="32"/>
          <w:szCs w:val="32"/>
        </w:rPr>
        <w:t>-0.</w:t>
      </w:r>
      <w:r w:rsidR="00D44652" w:rsidRPr="004E7090">
        <w:rPr>
          <w:rFonts w:ascii="仿宋" w:eastAsia="仿宋" w:hAnsi="仿宋" w:hint="eastAsia"/>
          <w:sz w:val="32"/>
          <w:szCs w:val="32"/>
        </w:rPr>
        <w:t>8</w:t>
      </w:r>
      <w:r w:rsidR="00447CD4" w:rsidRPr="004E7090">
        <w:rPr>
          <w:rFonts w:ascii="仿宋" w:eastAsia="仿宋" w:hAnsi="仿宋" w:hint="eastAsia"/>
          <w:sz w:val="32"/>
          <w:szCs w:val="32"/>
        </w:rPr>
        <w:t>1</w:t>
      </w:r>
      <w:r w:rsidR="002D3CB7" w:rsidRPr="004E7090">
        <w:rPr>
          <w:rFonts w:ascii="仿宋" w:eastAsia="仿宋" w:hAnsi="仿宋" w:hint="eastAsia"/>
          <w:sz w:val="32"/>
          <w:szCs w:val="32"/>
        </w:rPr>
        <w:t>%， 2017年</w:t>
      </w:r>
      <w:r w:rsidR="00D44652" w:rsidRPr="004E7090">
        <w:rPr>
          <w:rFonts w:ascii="仿宋" w:eastAsia="仿宋" w:hAnsi="仿宋" w:hint="eastAsia"/>
          <w:sz w:val="32"/>
          <w:szCs w:val="32"/>
        </w:rPr>
        <w:t>为</w:t>
      </w:r>
      <w:r w:rsidR="00447CD4" w:rsidRPr="004E7090">
        <w:rPr>
          <w:rFonts w:ascii="仿宋" w:eastAsia="仿宋" w:hAnsi="仿宋" w:hint="eastAsia"/>
          <w:sz w:val="32"/>
          <w:szCs w:val="32"/>
        </w:rPr>
        <w:t>2.43</w:t>
      </w:r>
      <w:r w:rsidR="002D3CB7" w:rsidRPr="004E7090">
        <w:rPr>
          <w:rFonts w:ascii="仿宋" w:eastAsia="仿宋" w:hAnsi="仿宋"/>
          <w:sz w:val="32"/>
          <w:szCs w:val="32"/>
        </w:rPr>
        <w:t>人</w:t>
      </w:r>
      <w:r w:rsidR="002D3CB7" w:rsidRPr="004E7090">
        <w:rPr>
          <w:rFonts w:ascii="仿宋" w:eastAsia="仿宋" w:hAnsi="仿宋" w:hint="eastAsia"/>
          <w:sz w:val="32"/>
          <w:szCs w:val="32"/>
        </w:rPr>
        <w:t>。</w:t>
      </w:r>
    </w:p>
    <w:p w:rsidR="002D3CB7" w:rsidRPr="004E7090" w:rsidRDefault="002D3CB7" w:rsidP="004E7090">
      <w:pPr>
        <w:ind w:firstLineChars="200" w:firstLine="643"/>
        <w:rPr>
          <w:rFonts w:ascii="仿宋" w:eastAsia="仿宋" w:hAnsi="仿宋"/>
          <w:b/>
          <w:sz w:val="32"/>
          <w:szCs w:val="32"/>
        </w:rPr>
      </w:pPr>
      <w:r w:rsidRPr="004E7090">
        <w:rPr>
          <w:rFonts w:ascii="仿宋" w:eastAsia="仿宋" w:hAnsi="仿宋" w:hint="eastAsia"/>
          <w:b/>
          <w:sz w:val="32"/>
          <w:szCs w:val="32"/>
        </w:rPr>
        <w:t>（三）资源环境类指标完成情况</w:t>
      </w:r>
    </w:p>
    <w:p w:rsidR="00F00ECE" w:rsidRPr="004E7090" w:rsidRDefault="002D3CB7" w:rsidP="004E7090">
      <w:pPr>
        <w:ind w:firstLineChars="200" w:firstLine="640"/>
        <w:rPr>
          <w:rFonts w:ascii="仿宋" w:eastAsia="仿宋" w:hAnsi="仿宋"/>
          <w:sz w:val="32"/>
          <w:szCs w:val="32"/>
        </w:rPr>
      </w:pPr>
      <w:r w:rsidRPr="004E7090">
        <w:rPr>
          <w:rFonts w:ascii="仿宋" w:eastAsia="仿宋" w:hAnsi="仿宋" w:hint="eastAsia"/>
          <w:sz w:val="32"/>
          <w:szCs w:val="32"/>
        </w:rPr>
        <w:t>万元GDP能耗年均</w:t>
      </w:r>
      <w:r w:rsidR="006A75E5" w:rsidRPr="004E7090">
        <w:rPr>
          <w:rFonts w:ascii="仿宋" w:eastAsia="仿宋" w:hAnsi="仿宋" w:hint="eastAsia"/>
          <w:sz w:val="32"/>
          <w:szCs w:val="32"/>
        </w:rPr>
        <w:t>上升3.97</w:t>
      </w:r>
      <w:r w:rsidRPr="004E7090">
        <w:rPr>
          <w:rFonts w:ascii="仿宋" w:eastAsia="仿宋" w:hAnsi="仿宋" w:hint="eastAsia"/>
          <w:sz w:val="32"/>
          <w:szCs w:val="32"/>
        </w:rPr>
        <w:t>%，2017年</w:t>
      </w:r>
      <w:r w:rsidR="006A75E5" w:rsidRPr="004E7090">
        <w:rPr>
          <w:rFonts w:ascii="仿宋" w:eastAsia="仿宋" w:hAnsi="仿宋" w:hint="eastAsia"/>
          <w:sz w:val="32"/>
          <w:szCs w:val="32"/>
        </w:rPr>
        <w:t>升</w:t>
      </w:r>
      <w:r w:rsidRPr="004E7090">
        <w:rPr>
          <w:rFonts w:ascii="仿宋" w:eastAsia="仿宋" w:hAnsi="仿宋" w:hint="eastAsia"/>
          <w:sz w:val="32"/>
          <w:szCs w:val="32"/>
        </w:rPr>
        <w:t>至</w:t>
      </w:r>
      <w:r w:rsidR="006A75E5" w:rsidRPr="004E7090">
        <w:rPr>
          <w:rFonts w:ascii="仿宋" w:eastAsia="仿宋" w:hAnsi="仿宋" w:hint="eastAsia"/>
          <w:sz w:val="32"/>
          <w:szCs w:val="32"/>
        </w:rPr>
        <w:t>0.4757</w:t>
      </w:r>
      <w:r w:rsidRPr="004E7090">
        <w:rPr>
          <w:rFonts w:ascii="仿宋" w:eastAsia="仿宋" w:hAnsi="仿宋" w:hint="eastAsia"/>
          <w:sz w:val="32"/>
          <w:szCs w:val="32"/>
        </w:rPr>
        <w:t>吨标</w:t>
      </w:r>
      <w:r w:rsidR="003D4602" w:rsidRPr="004E7090">
        <w:rPr>
          <w:rFonts w:ascii="仿宋" w:eastAsia="仿宋" w:hAnsi="仿宋" w:hint="eastAsia"/>
          <w:sz w:val="32"/>
          <w:szCs w:val="32"/>
        </w:rPr>
        <w:t>准</w:t>
      </w:r>
      <w:r w:rsidRPr="004E7090">
        <w:rPr>
          <w:rFonts w:ascii="仿宋" w:eastAsia="仿宋" w:hAnsi="仿宋" w:hint="eastAsia"/>
          <w:sz w:val="32"/>
          <w:szCs w:val="32"/>
        </w:rPr>
        <w:t>煤。耕地保有量为</w:t>
      </w:r>
      <w:r w:rsidR="006A75E5" w:rsidRPr="004E7090">
        <w:rPr>
          <w:rFonts w:ascii="仿宋" w:eastAsia="仿宋" w:hAnsi="仿宋" w:hint="eastAsia"/>
          <w:sz w:val="32"/>
          <w:szCs w:val="32"/>
        </w:rPr>
        <w:t>1.4838</w:t>
      </w:r>
      <w:r w:rsidRPr="004E7090">
        <w:rPr>
          <w:rFonts w:ascii="仿宋" w:eastAsia="仿宋" w:hAnsi="仿宋" w:hint="eastAsia"/>
          <w:sz w:val="32"/>
          <w:szCs w:val="32"/>
        </w:rPr>
        <w:t>万公顷，</w:t>
      </w:r>
      <w:r w:rsidR="006A75E5" w:rsidRPr="004E7090">
        <w:rPr>
          <w:rFonts w:ascii="仿宋" w:eastAsia="仿宋" w:hAnsi="仿宋" w:hint="eastAsia"/>
          <w:sz w:val="32"/>
          <w:szCs w:val="32"/>
        </w:rPr>
        <w:t>低</w:t>
      </w:r>
      <w:r w:rsidRPr="004E7090">
        <w:rPr>
          <w:rFonts w:ascii="仿宋" w:eastAsia="仿宋" w:hAnsi="仿宋" w:hint="eastAsia"/>
          <w:sz w:val="32"/>
          <w:szCs w:val="32"/>
        </w:rPr>
        <w:t>于</w:t>
      </w:r>
      <w:r w:rsidRPr="004E7090">
        <w:rPr>
          <w:rFonts w:ascii="仿宋" w:eastAsia="仿宋" w:hAnsi="仿宋"/>
          <w:sz w:val="32"/>
          <w:szCs w:val="32"/>
        </w:rPr>
        <w:t>1.51273</w:t>
      </w:r>
      <w:r w:rsidRPr="004E7090">
        <w:rPr>
          <w:rFonts w:ascii="仿宋" w:eastAsia="仿宋" w:hAnsi="仿宋" w:hint="eastAsia"/>
          <w:sz w:val="32"/>
          <w:szCs w:val="32"/>
        </w:rPr>
        <w:t>万公顷的规划底线。城镇生活污水处理率比2015年增加</w:t>
      </w:r>
      <w:r w:rsidR="009D5C67" w:rsidRPr="004E7090">
        <w:rPr>
          <w:rFonts w:ascii="仿宋" w:eastAsia="仿宋" w:hAnsi="仿宋" w:hint="eastAsia"/>
          <w:sz w:val="32"/>
          <w:szCs w:val="32"/>
        </w:rPr>
        <w:t>7.26</w:t>
      </w:r>
      <w:r w:rsidRPr="004E7090">
        <w:rPr>
          <w:rFonts w:ascii="仿宋" w:eastAsia="仿宋" w:hAnsi="仿宋" w:hint="eastAsia"/>
          <w:sz w:val="32"/>
          <w:szCs w:val="32"/>
        </w:rPr>
        <w:t>个百分点，2017年达到</w:t>
      </w:r>
      <w:r w:rsidR="00D44652" w:rsidRPr="004E7090">
        <w:rPr>
          <w:rFonts w:ascii="仿宋" w:eastAsia="仿宋" w:hAnsi="仿宋" w:hint="eastAsia"/>
          <w:sz w:val="32"/>
          <w:szCs w:val="32"/>
        </w:rPr>
        <w:t>99.5</w:t>
      </w:r>
      <w:r w:rsidRPr="004E7090">
        <w:rPr>
          <w:rFonts w:ascii="仿宋" w:eastAsia="仿宋" w:hAnsi="仿宋" w:hint="eastAsia"/>
          <w:sz w:val="32"/>
          <w:szCs w:val="32"/>
        </w:rPr>
        <w:t>%。</w:t>
      </w:r>
      <w:r w:rsidR="0094102B" w:rsidRPr="004E7090">
        <w:rPr>
          <w:rFonts w:ascii="仿宋" w:eastAsia="仿宋" w:hAnsi="仿宋" w:hint="eastAsia"/>
          <w:sz w:val="32"/>
          <w:szCs w:val="32"/>
        </w:rPr>
        <w:t>城镇生活垃圾无害化处理率比2015年增加</w:t>
      </w:r>
      <w:r w:rsidR="009D5C67" w:rsidRPr="004E7090">
        <w:rPr>
          <w:rFonts w:ascii="仿宋" w:eastAsia="仿宋" w:hAnsi="仿宋" w:hint="eastAsia"/>
          <w:sz w:val="32"/>
          <w:szCs w:val="32"/>
        </w:rPr>
        <w:t>6</w:t>
      </w:r>
      <w:r w:rsidR="0094102B" w:rsidRPr="004E7090">
        <w:rPr>
          <w:rFonts w:ascii="仿宋" w:eastAsia="仿宋" w:hAnsi="仿宋" w:hint="eastAsia"/>
          <w:sz w:val="32"/>
          <w:szCs w:val="32"/>
        </w:rPr>
        <w:t>个百分点，2017年达到</w:t>
      </w:r>
      <w:r w:rsidR="009D5C67" w:rsidRPr="004E7090">
        <w:rPr>
          <w:rFonts w:ascii="仿宋" w:eastAsia="仿宋" w:hAnsi="仿宋" w:hint="eastAsia"/>
          <w:sz w:val="32"/>
          <w:szCs w:val="32"/>
        </w:rPr>
        <w:t>98.5</w:t>
      </w:r>
      <w:r w:rsidR="0094102B" w:rsidRPr="004E7090">
        <w:rPr>
          <w:rFonts w:ascii="仿宋" w:eastAsia="仿宋" w:hAnsi="仿宋" w:hint="eastAsia"/>
          <w:sz w:val="32"/>
          <w:szCs w:val="32"/>
        </w:rPr>
        <w:t xml:space="preserve"> %。二氧化硫排放量、化学需氧量排放量、氮氧化物排放量、氨氮排放量分别下降</w:t>
      </w:r>
      <w:r w:rsidR="006922F2" w:rsidRPr="004E7090">
        <w:rPr>
          <w:rFonts w:ascii="仿宋" w:eastAsia="仿宋" w:hAnsi="仿宋" w:hint="eastAsia"/>
          <w:sz w:val="32"/>
          <w:szCs w:val="32"/>
        </w:rPr>
        <w:t>0.11</w:t>
      </w:r>
      <w:r w:rsidR="0094102B" w:rsidRPr="004E7090">
        <w:rPr>
          <w:rFonts w:ascii="仿宋" w:eastAsia="仿宋" w:hAnsi="仿宋" w:hint="eastAsia"/>
          <w:sz w:val="32"/>
          <w:szCs w:val="32"/>
        </w:rPr>
        <w:t>、</w:t>
      </w:r>
      <w:r w:rsidR="006922F2" w:rsidRPr="004E7090">
        <w:rPr>
          <w:rFonts w:ascii="仿宋" w:eastAsia="仿宋" w:hAnsi="仿宋" w:hint="eastAsia"/>
          <w:sz w:val="32"/>
          <w:szCs w:val="32"/>
        </w:rPr>
        <w:t>0.04</w:t>
      </w:r>
      <w:r w:rsidR="0094102B" w:rsidRPr="004E7090">
        <w:rPr>
          <w:rFonts w:ascii="仿宋" w:eastAsia="仿宋" w:hAnsi="仿宋" w:hint="eastAsia"/>
          <w:sz w:val="32"/>
          <w:szCs w:val="32"/>
        </w:rPr>
        <w:t>、</w:t>
      </w:r>
      <w:r w:rsidR="006922F2" w:rsidRPr="004E7090">
        <w:rPr>
          <w:rFonts w:ascii="仿宋" w:eastAsia="仿宋" w:hAnsi="仿宋" w:hint="eastAsia"/>
          <w:sz w:val="32"/>
          <w:szCs w:val="32"/>
        </w:rPr>
        <w:t>0.29</w:t>
      </w:r>
      <w:r w:rsidR="0094102B" w:rsidRPr="004E7090">
        <w:rPr>
          <w:rFonts w:ascii="仿宋" w:eastAsia="仿宋" w:hAnsi="仿宋" w:hint="eastAsia"/>
          <w:sz w:val="32"/>
          <w:szCs w:val="32"/>
        </w:rPr>
        <w:t>、</w:t>
      </w:r>
      <w:r w:rsidR="006922F2" w:rsidRPr="004E7090">
        <w:rPr>
          <w:rFonts w:ascii="仿宋" w:eastAsia="仿宋" w:hAnsi="仿宋" w:hint="eastAsia"/>
          <w:sz w:val="32"/>
          <w:szCs w:val="32"/>
        </w:rPr>
        <w:t>0.07个百分点</w:t>
      </w:r>
      <w:r w:rsidR="0094102B" w:rsidRPr="004E7090">
        <w:rPr>
          <w:rFonts w:ascii="仿宋" w:eastAsia="仿宋" w:hAnsi="仿宋" w:hint="eastAsia"/>
          <w:sz w:val="32"/>
          <w:szCs w:val="32"/>
        </w:rPr>
        <w:t>。森林覆盖率比2015年增加</w:t>
      </w:r>
      <w:r w:rsidR="0074331C" w:rsidRPr="004E7090">
        <w:rPr>
          <w:rFonts w:ascii="仿宋" w:eastAsia="仿宋" w:hAnsi="仿宋" w:hint="eastAsia"/>
          <w:sz w:val="32"/>
          <w:szCs w:val="32"/>
        </w:rPr>
        <w:t>0.03</w:t>
      </w:r>
      <w:r w:rsidR="0094102B" w:rsidRPr="004E7090">
        <w:rPr>
          <w:rFonts w:ascii="仿宋" w:eastAsia="仿宋" w:hAnsi="仿宋" w:hint="eastAsia"/>
          <w:sz w:val="32"/>
          <w:szCs w:val="32"/>
        </w:rPr>
        <w:t>个百分点，2017年达到</w:t>
      </w:r>
      <w:r w:rsidR="0074331C" w:rsidRPr="004E7090">
        <w:rPr>
          <w:rFonts w:ascii="仿宋" w:eastAsia="仿宋" w:hAnsi="仿宋" w:hint="eastAsia"/>
          <w:sz w:val="32"/>
          <w:szCs w:val="32"/>
        </w:rPr>
        <w:t>79.89</w:t>
      </w:r>
      <w:r w:rsidR="0094102B" w:rsidRPr="004E7090">
        <w:rPr>
          <w:rFonts w:ascii="仿宋" w:eastAsia="仿宋" w:hAnsi="仿宋" w:hint="eastAsia"/>
          <w:sz w:val="32"/>
          <w:szCs w:val="32"/>
        </w:rPr>
        <w:t>%。城市人均公园绿地面积年均增长</w:t>
      </w:r>
      <w:r w:rsidR="002E7DFD" w:rsidRPr="004E7090">
        <w:rPr>
          <w:rFonts w:ascii="仿宋" w:eastAsia="仿宋" w:hAnsi="仿宋" w:hint="eastAsia"/>
          <w:sz w:val="32"/>
          <w:szCs w:val="32"/>
        </w:rPr>
        <w:t>0.023</w:t>
      </w:r>
      <w:r w:rsidR="0094102B" w:rsidRPr="004E7090">
        <w:rPr>
          <w:rFonts w:ascii="仿宋" w:eastAsia="仿宋" w:hAnsi="仿宋" w:hint="eastAsia"/>
          <w:sz w:val="32"/>
          <w:szCs w:val="32"/>
        </w:rPr>
        <w:t>%，2017年达到</w:t>
      </w:r>
      <w:r w:rsidR="002E7DFD" w:rsidRPr="004E7090">
        <w:rPr>
          <w:rFonts w:ascii="仿宋" w:eastAsia="仿宋" w:hAnsi="仿宋" w:hint="eastAsia"/>
          <w:sz w:val="32"/>
          <w:szCs w:val="32"/>
        </w:rPr>
        <w:t>21.32</w:t>
      </w:r>
      <w:r w:rsidR="0094102B" w:rsidRPr="004E7090">
        <w:rPr>
          <w:rFonts w:ascii="仿宋" w:eastAsia="仿宋" w:hAnsi="仿宋" w:hint="eastAsia"/>
          <w:sz w:val="32"/>
          <w:szCs w:val="32"/>
        </w:rPr>
        <w:t>平方米。</w:t>
      </w:r>
    </w:p>
    <w:p w:rsidR="002539E8" w:rsidRPr="004E7090" w:rsidRDefault="002539E8" w:rsidP="004E7090">
      <w:pPr>
        <w:ind w:firstLineChars="200" w:firstLine="643"/>
        <w:rPr>
          <w:rFonts w:ascii="仿宋" w:eastAsia="仿宋" w:hAnsi="仿宋"/>
          <w:b/>
          <w:sz w:val="32"/>
          <w:szCs w:val="32"/>
        </w:rPr>
      </w:pPr>
      <w:r w:rsidRPr="004E7090">
        <w:rPr>
          <w:rFonts w:ascii="仿宋" w:eastAsia="仿宋" w:hAnsi="仿宋" w:hint="eastAsia"/>
          <w:b/>
          <w:sz w:val="32"/>
          <w:szCs w:val="32"/>
        </w:rPr>
        <w:t>（四）重</w:t>
      </w:r>
      <w:r w:rsidR="003D4602" w:rsidRPr="004E7090">
        <w:rPr>
          <w:rFonts w:ascii="仿宋" w:eastAsia="仿宋" w:hAnsi="仿宋" w:hint="eastAsia"/>
          <w:b/>
          <w:sz w:val="32"/>
          <w:szCs w:val="32"/>
        </w:rPr>
        <w:t>大</w:t>
      </w:r>
      <w:r w:rsidRPr="004E7090">
        <w:rPr>
          <w:rFonts w:ascii="仿宋" w:eastAsia="仿宋" w:hAnsi="仿宋" w:hint="eastAsia"/>
          <w:b/>
          <w:sz w:val="32"/>
          <w:szCs w:val="32"/>
        </w:rPr>
        <w:t>项目完成情况</w:t>
      </w:r>
    </w:p>
    <w:p w:rsidR="00023DD5" w:rsidRPr="004E7090" w:rsidRDefault="004C4216" w:rsidP="004E7090">
      <w:pPr>
        <w:ind w:firstLineChars="200" w:firstLine="640"/>
        <w:rPr>
          <w:rFonts w:ascii="仿宋" w:eastAsia="仿宋" w:hAnsi="仿宋"/>
          <w:sz w:val="32"/>
          <w:szCs w:val="32"/>
        </w:rPr>
      </w:pPr>
      <w:r w:rsidRPr="004E7090">
        <w:rPr>
          <w:rFonts w:ascii="仿宋" w:eastAsia="仿宋" w:hAnsi="仿宋" w:hint="eastAsia"/>
          <w:sz w:val="32"/>
          <w:szCs w:val="32"/>
        </w:rPr>
        <w:t>“十三五”期间，我县共安排</w:t>
      </w:r>
      <w:r w:rsidR="0094102B" w:rsidRPr="004E7090">
        <w:rPr>
          <w:rFonts w:ascii="仿宋" w:eastAsia="仿宋" w:hAnsi="仿宋" w:hint="eastAsia"/>
          <w:sz w:val="32"/>
          <w:szCs w:val="32"/>
        </w:rPr>
        <w:t>交通基础设施建设、产业</w:t>
      </w:r>
      <w:r w:rsidR="0094102B" w:rsidRPr="004E7090">
        <w:rPr>
          <w:rFonts w:ascii="仿宋" w:eastAsia="仿宋" w:hAnsi="仿宋" w:hint="eastAsia"/>
          <w:sz w:val="32"/>
          <w:szCs w:val="32"/>
        </w:rPr>
        <w:lastRenderedPageBreak/>
        <w:t>园扩能增效建设、城市提质扩容</w:t>
      </w:r>
      <w:r w:rsidR="00EF0E09" w:rsidRPr="004E7090">
        <w:rPr>
          <w:rFonts w:ascii="仿宋" w:eastAsia="仿宋" w:hAnsi="仿宋" w:hint="eastAsia"/>
          <w:sz w:val="32"/>
          <w:szCs w:val="32"/>
        </w:rPr>
        <w:t>、实体经济、重点民生工程</w:t>
      </w:r>
      <w:r w:rsidRPr="004E7090">
        <w:rPr>
          <w:rFonts w:ascii="仿宋" w:eastAsia="仿宋" w:hAnsi="仿宋" w:hint="eastAsia"/>
          <w:sz w:val="32"/>
          <w:szCs w:val="32"/>
        </w:rPr>
        <w:t>等</w:t>
      </w:r>
      <w:r w:rsidR="00EF0E09" w:rsidRPr="004E7090">
        <w:rPr>
          <w:rFonts w:ascii="仿宋" w:eastAsia="仿宋" w:hAnsi="仿宋" w:hint="eastAsia"/>
          <w:sz w:val="32"/>
          <w:szCs w:val="32"/>
        </w:rPr>
        <w:t>五</w:t>
      </w:r>
      <w:r w:rsidRPr="004E7090">
        <w:rPr>
          <w:rFonts w:ascii="仿宋" w:eastAsia="仿宋" w:hAnsi="仿宋" w:hint="eastAsia"/>
          <w:sz w:val="32"/>
          <w:szCs w:val="32"/>
        </w:rPr>
        <w:t>大类重</w:t>
      </w:r>
      <w:r w:rsidR="003D4602" w:rsidRPr="004E7090">
        <w:rPr>
          <w:rFonts w:ascii="仿宋" w:eastAsia="仿宋" w:hAnsi="仿宋" w:hint="eastAsia"/>
          <w:sz w:val="32"/>
          <w:szCs w:val="32"/>
        </w:rPr>
        <w:t>大</w:t>
      </w:r>
      <w:r w:rsidRPr="004E7090">
        <w:rPr>
          <w:rFonts w:ascii="仿宋" w:eastAsia="仿宋" w:hAnsi="仿宋" w:hint="eastAsia"/>
          <w:sz w:val="32"/>
          <w:szCs w:val="32"/>
        </w:rPr>
        <w:t>项目18</w:t>
      </w:r>
      <w:r w:rsidR="0094102B" w:rsidRPr="004E7090">
        <w:rPr>
          <w:rFonts w:ascii="仿宋" w:eastAsia="仿宋" w:hAnsi="仿宋" w:hint="eastAsia"/>
          <w:sz w:val="32"/>
          <w:szCs w:val="32"/>
        </w:rPr>
        <w:t>6</w:t>
      </w:r>
      <w:r w:rsidRPr="004E7090">
        <w:rPr>
          <w:rFonts w:ascii="仿宋" w:eastAsia="仿宋" w:hAnsi="仿宋" w:hint="eastAsia"/>
          <w:sz w:val="32"/>
          <w:szCs w:val="32"/>
        </w:rPr>
        <w:t>个，总投资</w:t>
      </w:r>
      <w:r w:rsidR="0094102B" w:rsidRPr="004E7090">
        <w:rPr>
          <w:rFonts w:ascii="仿宋" w:eastAsia="仿宋" w:hAnsi="仿宋"/>
          <w:sz w:val="32"/>
          <w:szCs w:val="32"/>
        </w:rPr>
        <w:t>1621</w:t>
      </w:r>
      <w:r w:rsidR="0094102B" w:rsidRPr="004E7090">
        <w:rPr>
          <w:rFonts w:ascii="仿宋" w:eastAsia="仿宋" w:hAnsi="仿宋" w:hint="eastAsia"/>
          <w:sz w:val="32"/>
          <w:szCs w:val="32"/>
        </w:rPr>
        <w:t>.</w:t>
      </w:r>
      <w:r w:rsidR="0094102B" w:rsidRPr="004E7090">
        <w:rPr>
          <w:rFonts w:ascii="仿宋" w:eastAsia="仿宋" w:hAnsi="仿宋"/>
          <w:sz w:val="32"/>
          <w:szCs w:val="32"/>
        </w:rPr>
        <w:t>55</w:t>
      </w:r>
      <w:r w:rsidRPr="004E7090">
        <w:rPr>
          <w:rFonts w:ascii="仿宋" w:eastAsia="仿宋" w:hAnsi="仿宋" w:hint="eastAsia"/>
          <w:sz w:val="32"/>
          <w:szCs w:val="32"/>
        </w:rPr>
        <w:t>亿元，“十三五”期间投资计划</w:t>
      </w:r>
      <w:r w:rsidR="0094102B" w:rsidRPr="004E7090">
        <w:rPr>
          <w:rFonts w:ascii="仿宋" w:eastAsia="仿宋" w:hAnsi="仿宋"/>
          <w:sz w:val="32"/>
          <w:szCs w:val="32"/>
        </w:rPr>
        <w:t>1034</w:t>
      </w:r>
      <w:r w:rsidR="0094102B" w:rsidRPr="004E7090">
        <w:rPr>
          <w:rFonts w:ascii="仿宋" w:eastAsia="仿宋" w:hAnsi="仿宋" w:hint="eastAsia"/>
          <w:sz w:val="32"/>
          <w:szCs w:val="32"/>
        </w:rPr>
        <w:t>.</w:t>
      </w:r>
      <w:r w:rsidR="0094102B" w:rsidRPr="004E7090">
        <w:rPr>
          <w:rFonts w:ascii="仿宋" w:eastAsia="仿宋" w:hAnsi="仿宋"/>
          <w:sz w:val="32"/>
          <w:szCs w:val="32"/>
        </w:rPr>
        <w:t>5</w:t>
      </w:r>
      <w:r w:rsidR="0094102B" w:rsidRPr="004E7090">
        <w:rPr>
          <w:rFonts w:ascii="仿宋" w:eastAsia="仿宋" w:hAnsi="仿宋" w:hint="eastAsia"/>
          <w:sz w:val="32"/>
          <w:szCs w:val="32"/>
        </w:rPr>
        <w:t>8</w:t>
      </w:r>
      <w:r w:rsidRPr="004E7090">
        <w:rPr>
          <w:rFonts w:ascii="仿宋" w:eastAsia="仿宋" w:hAnsi="仿宋" w:hint="eastAsia"/>
          <w:sz w:val="32"/>
          <w:szCs w:val="32"/>
        </w:rPr>
        <w:t>亿元。“十三五”以来，我县着力完善项目建设工作机制，破解项目落地和建设难题，强化目标管理责任落实，带动固定资产投资较快增长，有力促进了产业体系建设，提升了基础设施建设水平，为经济社会健康发展打下坚实基础。</w:t>
      </w:r>
    </w:p>
    <w:p w:rsidR="00023DD5" w:rsidRPr="004E7090" w:rsidRDefault="00FB2EA7" w:rsidP="004E7090">
      <w:pPr>
        <w:ind w:firstLineChars="200" w:firstLine="640"/>
        <w:rPr>
          <w:rFonts w:ascii="仿宋" w:eastAsia="仿宋" w:hAnsi="仿宋"/>
          <w:sz w:val="32"/>
          <w:szCs w:val="32"/>
        </w:rPr>
      </w:pPr>
      <w:r w:rsidRPr="004E7090">
        <w:rPr>
          <w:rFonts w:ascii="仿宋" w:eastAsia="仿宋" w:hAnsi="仿宋" w:hint="eastAsia"/>
          <w:sz w:val="32"/>
          <w:szCs w:val="32"/>
        </w:rPr>
        <w:t>截止2018年6月底，累计完成投资</w:t>
      </w:r>
      <w:r w:rsidR="00426DD8" w:rsidRPr="004E7090">
        <w:rPr>
          <w:rFonts w:ascii="仿宋" w:eastAsia="仿宋" w:hAnsi="仿宋" w:hint="eastAsia"/>
          <w:sz w:val="32"/>
          <w:szCs w:val="32"/>
        </w:rPr>
        <w:t>170.93</w:t>
      </w:r>
      <w:r w:rsidRPr="004E7090">
        <w:rPr>
          <w:rFonts w:ascii="仿宋" w:eastAsia="仿宋" w:hAnsi="仿宋" w:hint="eastAsia"/>
          <w:sz w:val="32"/>
          <w:szCs w:val="32"/>
        </w:rPr>
        <w:t>亿元，已完成“十三五”期间计划投资的</w:t>
      </w:r>
      <w:r w:rsidR="00426DD8" w:rsidRPr="004E7090">
        <w:rPr>
          <w:rFonts w:ascii="仿宋" w:eastAsia="仿宋" w:hAnsi="仿宋" w:hint="eastAsia"/>
          <w:sz w:val="32"/>
          <w:szCs w:val="32"/>
        </w:rPr>
        <w:t>16.52</w:t>
      </w:r>
      <w:r w:rsidRPr="004E7090">
        <w:rPr>
          <w:rFonts w:ascii="仿宋" w:eastAsia="仿宋" w:hAnsi="仿宋" w:hint="eastAsia"/>
          <w:sz w:val="32"/>
          <w:szCs w:val="32"/>
        </w:rPr>
        <w:t>%。其中</w:t>
      </w:r>
      <w:r w:rsidR="00426DD8" w:rsidRPr="004E7090">
        <w:rPr>
          <w:rFonts w:ascii="仿宋" w:eastAsia="仿宋" w:hAnsi="仿宋" w:hint="eastAsia"/>
          <w:sz w:val="32"/>
          <w:szCs w:val="32"/>
        </w:rPr>
        <w:t>已开工86项，未开工</w:t>
      </w:r>
      <w:r w:rsidR="003D4602" w:rsidRPr="004E7090">
        <w:rPr>
          <w:rFonts w:ascii="仿宋" w:eastAsia="仿宋" w:hAnsi="仿宋" w:hint="eastAsia"/>
          <w:sz w:val="32"/>
          <w:szCs w:val="32"/>
        </w:rPr>
        <w:t>100</w:t>
      </w:r>
      <w:r w:rsidR="00426DD8" w:rsidRPr="004E7090">
        <w:rPr>
          <w:rFonts w:ascii="仿宋" w:eastAsia="仿宋" w:hAnsi="仿宋" w:hint="eastAsia"/>
          <w:sz w:val="32"/>
          <w:szCs w:val="32"/>
        </w:rPr>
        <w:t>项。</w:t>
      </w:r>
    </w:p>
    <w:p w:rsidR="00CD5F5F" w:rsidRPr="004E7090" w:rsidRDefault="00CD5F5F" w:rsidP="004E7090">
      <w:pPr>
        <w:ind w:firstLineChars="200" w:firstLine="640"/>
        <w:rPr>
          <w:rFonts w:ascii="黑体" w:eastAsia="黑体" w:hAnsi="黑体"/>
          <w:sz w:val="32"/>
          <w:szCs w:val="32"/>
        </w:rPr>
      </w:pPr>
      <w:r w:rsidRPr="004E7090">
        <w:rPr>
          <w:rFonts w:ascii="黑体" w:eastAsia="黑体" w:hAnsi="黑体"/>
          <w:sz w:val="32"/>
          <w:szCs w:val="32"/>
        </w:rPr>
        <w:t>二、规划实施取得的主要成绩与亮点</w:t>
      </w:r>
    </w:p>
    <w:p w:rsidR="00F72AD3" w:rsidRPr="004E7090" w:rsidRDefault="00F72AD3" w:rsidP="004E7090">
      <w:pPr>
        <w:ind w:firstLineChars="200" w:firstLine="643"/>
        <w:rPr>
          <w:rFonts w:ascii="仿宋" w:eastAsia="仿宋" w:hAnsi="仿宋"/>
          <w:b/>
          <w:sz w:val="32"/>
          <w:szCs w:val="32"/>
        </w:rPr>
      </w:pPr>
      <w:bookmarkStart w:id="10" w:name="_Toc366509017"/>
      <w:r w:rsidRPr="004E7090">
        <w:rPr>
          <w:rFonts w:ascii="仿宋" w:eastAsia="仿宋" w:hAnsi="仿宋" w:hint="eastAsia"/>
          <w:b/>
          <w:sz w:val="32"/>
          <w:szCs w:val="32"/>
        </w:rPr>
        <w:t>（一）产业结构优化升级加速推进，综合实力明显提升</w:t>
      </w:r>
    </w:p>
    <w:p w:rsidR="00F72AD3" w:rsidRPr="004E7090" w:rsidRDefault="00F72AD3" w:rsidP="004E7090">
      <w:pPr>
        <w:ind w:firstLineChars="200" w:firstLine="643"/>
        <w:rPr>
          <w:rFonts w:ascii="仿宋" w:eastAsia="仿宋" w:hAnsi="仿宋"/>
          <w:sz w:val="32"/>
          <w:szCs w:val="32"/>
        </w:rPr>
      </w:pPr>
      <w:r w:rsidRPr="004E7090">
        <w:rPr>
          <w:rFonts w:ascii="仿宋" w:eastAsia="仿宋" w:hAnsi="仿宋" w:hint="eastAsia"/>
          <w:b/>
          <w:sz w:val="32"/>
          <w:szCs w:val="32"/>
        </w:rPr>
        <w:t>产业结构优化升级加速推进。</w:t>
      </w:r>
      <w:r w:rsidRPr="004E7090">
        <w:rPr>
          <w:rFonts w:ascii="仿宋" w:eastAsia="仿宋" w:hAnsi="仿宋" w:hint="eastAsia"/>
          <w:sz w:val="32"/>
          <w:szCs w:val="32"/>
        </w:rPr>
        <w:t>“十三五”以来，全县以构建韩江（大埔）</w:t>
      </w:r>
      <w:r w:rsidR="003D4602" w:rsidRPr="004E7090">
        <w:rPr>
          <w:rFonts w:ascii="仿宋" w:eastAsia="仿宋" w:hAnsi="仿宋" w:hint="eastAsia"/>
          <w:sz w:val="32"/>
          <w:szCs w:val="32"/>
        </w:rPr>
        <w:t>客家文化旅游特色</w:t>
      </w:r>
      <w:r w:rsidRPr="004E7090">
        <w:rPr>
          <w:rFonts w:ascii="仿宋" w:eastAsia="仿宋" w:hAnsi="仿宋" w:hint="eastAsia"/>
          <w:sz w:val="32"/>
          <w:szCs w:val="32"/>
        </w:rPr>
        <w:t>带为龙头，立足“生态立县、实业富县、文旅兴县”三个定位，产业结构优化升级显著。三次产业结构由2015年的24∶30∶46调整为2017年的25:28:47。工业经济持续提质增效。2017年工业总产值79.5亿元，比2016年增长2.4%；规模以上工业增加值15.2亿元，年均增长14.4%。电力、陶瓷、矿业、酒业、药业等五业经济效益明显提升，2017年电力税收1.72亿元；陶瓷销售收入16亿元，税收1.09亿元。新增规模以上企业5家，年产值超亿元企业2家，吉玉陶瓷“新三板”上市工</w:t>
      </w:r>
      <w:r w:rsidRPr="004E7090">
        <w:rPr>
          <w:rFonts w:ascii="仿宋" w:eastAsia="仿宋" w:hAnsi="仿宋" w:hint="eastAsia"/>
          <w:sz w:val="32"/>
          <w:szCs w:val="32"/>
        </w:rPr>
        <w:lastRenderedPageBreak/>
        <w:t>作扎实推进。园区建设加速推进，目前园区入园企业35家（其中陶瓷项目有31家，占比88％），已投产企业18家，新入园企业17家，已完成厂房建设16家。全县旅游产业快速发展，“客家香格里拉·文化大埔”品牌进一步打响，旅游观光的游客和旅游收入分别年均增长16.5%和19.2%。农业总产值由2016年的32.92亿元增长到2017年的42.8亿元，年均增长9%。烤烟、蜜柚、生猪、茶叶、南药、油茶等特色农产品的规模化种植、品牌化经营发展迅速，2017年全县蜜柚面积、产量、产值比2015年分别增长8.4%、7.8%、14.3%，成功创建了全国绿色食品原料（10万亩大埔蜜柚、5万亩大埔乌龙茶）标准化生产基地，2017年全县有农业龙头企业139家（省级29家、市级55家、县级55家），农民专业合作社522家，家庭农场123家。广东顺兴种养股份有限公司在全国中小企业股转系统的挂牌申请获得批准，成为梅州市首家在新三板挂牌的农业种养企业。</w:t>
      </w:r>
    </w:p>
    <w:p w:rsidR="00F72AD3" w:rsidRPr="004E7090" w:rsidRDefault="00F72AD3" w:rsidP="004E7090">
      <w:pPr>
        <w:ind w:firstLineChars="200" w:firstLine="643"/>
        <w:rPr>
          <w:rFonts w:ascii="仿宋" w:eastAsia="仿宋" w:hAnsi="仿宋"/>
          <w:sz w:val="32"/>
          <w:szCs w:val="32"/>
        </w:rPr>
      </w:pPr>
      <w:r w:rsidRPr="004E7090">
        <w:rPr>
          <w:rFonts w:ascii="仿宋" w:eastAsia="仿宋" w:hAnsi="仿宋" w:hint="eastAsia"/>
          <w:b/>
          <w:sz w:val="32"/>
          <w:szCs w:val="32"/>
        </w:rPr>
        <w:t>创新驱动经济质量效益不断提升。</w:t>
      </w:r>
      <w:r w:rsidRPr="004E7090">
        <w:rPr>
          <w:rFonts w:ascii="仿宋" w:eastAsia="仿宋" w:hAnsi="仿宋" w:hint="eastAsia"/>
          <w:sz w:val="32"/>
          <w:szCs w:val="32"/>
        </w:rPr>
        <w:t>全县固定资产投资持续增长，2017年固定资产投资77.49亿元，年均增长</w:t>
      </w:r>
      <w:r w:rsidRPr="004E7090">
        <w:rPr>
          <w:rFonts w:ascii="仿宋" w:eastAsia="仿宋" w:hAnsi="仿宋"/>
          <w:sz w:val="32"/>
          <w:szCs w:val="32"/>
        </w:rPr>
        <w:t>8.6</w:t>
      </w:r>
      <w:r w:rsidRPr="004E7090">
        <w:rPr>
          <w:rFonts w:ascii="仿宋" w:eastAsia="仿宋" w:hAnsi="仿宋" w:hint="eastAsia"/>
          <w:sz w:val="32"/>
          <w:szCs w:val="32"/>
        </w:rPr>
        <w:t>%（其中，2</w:t>
      </w:r>
      <w:r w:rsidRPr="004E7090">
        <w:rPr>
          <w:rFonts w:ascii="仿宋" w:eastAsia="仿宋" w:hAnsi="仿宋"/>
          <w:sz w:val="32"/>
          <w:szCs w:val="32"/>
        </w:rPr>
        <w:t>016</w:t>
      </w:r>
      <w:r w:rsidRPr="004E7090">
        <w:rPr>
          <w:rFonts w:ascii="仿宋" w:eastAsia="仿宋" w:hAnsi="仿宋" w:hint="eastAsia"/>
          <w:sz w:val="32"/>
          <w:szCs w:val="32"/>
        </w:rPr>
        <w:t>年比2</w:t>
      </w:r>
      <w:r w:rsidRPr="004E7090">
        <w:rPr>
          <w:rFonts w:ascii="仿宋" w:eastAsia="仿宋" w:hAnsi="仿宋"/>
          <w:sz w:val="32"/>
          <w:szCs w:val="32"/>
        </w:rPr>
        <w:t>015</w:t>
      </w:r>
      <w:r w:rsidRPr="004E7090">
        <w:rPr>
          <w:rFonts w:ascii="仿宋" w:eastAsia="仿宋" w:hAnsi="仿宋" w:hint="eastAsia"/>
          <w:sz w:val="32"/>
          <w:szCs w:val="32"/>
        </w:rPr>
        <w:t>年减少13.6%）。强力推进招商引资，2017年引进项目28个，计划投资总额91.73亿元，其中投资额10亿元以上项目2个，总部经济项目1个。实施创新驱动战略，新增省市级工程技术研究开发中心8家、省级科技企业孵化器1家，专利申请量达219件。金融服务地方经</w:t>
      </w:r>
      <w:r w:rsidRPr="004E7090">
        <w:rPr>
          <w:rFonts w:ascii="仿宋" w:eastAsia="仿宋" w:hAnsi="仿宋" w:hint="eastAsia"/>
          <w:sz w:val="32"/>
          <w:szCs w:val="32"/>
        </w:rPr>
        <w:lastRenderedPageBreak/>
        <w:t>济发展能力增强，2018年上半年金融机构本外币存款余额比2015年同比增加51.16亿元，增长47.35%；本外币贷款余额比2015年同比贷款增加25.57亿元，增长52.40%；全县银行业不良贷款额3605万元，不良率为 0.48%，低于全省银行业不良贷款率1.44%的比率。消费保持平稳增长，2017年社会消费品零售总额53.57亿元，年均增长9.</w:t>
      </w:r>
      <w:r w:rsidRPr="004E7090">
        <w:rPr>
          <w:rFonts w:ascii="仿宋" w:eastAsia="仿宋" w:hAnsi="仿宋"/>
          <w:sz w:val="32"/>
          <w:szCs w:val="32"/>
        </w:rPr>
        <w:t>6</w:t>
      </w:r>
      <w:r w:rsidRPr="004E7090">
        <w:rPr>
          <w:rFonts w:ascii="仿宋" w:eastAsia="仿宋" w:hAnsi="仿宋" w:hint="eastAsia"/>
          <w:sz w:val="32"/>
          <w:szCs w:val="32"/>
        </w:rPr>
        <w:t>%，扩大消费需求的长效机制初步形成。2017年外贸进出口21039万美元，完成年预计划中的71.5%（其中，2</w:t>
      </w:r>
      <w:r w:rsidRPr="004E7090">
        <w:rPr>
          <w:rFonts w:ascii="仿宋" w:eastAsia="仿宋" w:hAnsi="仿宋"/>
          <w:sz w:val="32"/>
          <w:szCs w:val="32"/>
        </w:rPr>
        <w:t>016</w:t>
      </w:r>
      <w:r w:rsidRPr="004E7090">
        <w:rPr>
          <w:rFonts w:ascii="仿宋" w:eastAsia="仿宋" w:hAnsi="仿宋" w:hint="eastAsia"/>
          <w:sz w:val="32"/>
          <w:szCs w:val="32"/>
        </w:rPr>
        <w:t>年为2859</w:t>
      </w:r>
      <w:r w:rsidRPr="004E7090">
        <w:rPr>
          <w:rFonts w:ascii="仿宋" w:eastAsia="仿宋" w:hAnsi="仿宋"/>
          <w:sz w:val="32"/>
          <w:szCs w:val="32"/>
        </w:rPr>
        <w:t>5</w:t>
      </w:r>
      <w:r w:rsidRPr="004E7090">
        <w:rPr>
          <w:rFonts w:ascii="仿宋" w:eastAsia="仿宋" w:hAnsi="仿宋" w:hint="eastAsia"/>
          <w:sz w:val="32"/>
          <w:szCs w:val="32"/>
        </w:rPr>
        <w:t>万美元）。</w:t>
      </w:r>
    </w:p>
    <w:p w:rsidR="00F72AD3" w:rsidRPr="004E7090" w:rsidRDefault="00F72AD3" w:rsidP="004E7090">
      <w:pPr>
        <w:ind w:firstLineChars="200" w:firstLine="643"/>
        <w:rPr>
          <w:rFonts w:ascii="仿宋" w:eastAsia="仿宋" w:hAnsi="仿宋"/>
          <w:b/>
          <w:sz w:val="32"/>
          <w:szCs w:val="32"/>
        </w:rPr>
      </w:pPr>
      <w:r w:rsidRPr="004E7090">
        <w:rPr>
          <w:rFonts w:ascii="仿宋" w:eastAsia="仿宋" w:hAnsi="仿宋" w:hint="eastAsia"/>
          <w:b/>
          <w:sz w:val="32"/>
          <w:szCs w:val="32"/>
        </w:rPr>
        <w:t>（二）基础设施建设大力推进，对经济社会发展支撑能力明显增强</w:t>
      </w:r>
    </w:p>
    <w:p w:rsidR="00F72AD3" w:rsidRPr="004E7090" w:rsidRDefault="00F72AD3" w:rsidP="004E7090">
      <w:pPr>
        <w:ind w:firstLineChars="200" w:firstLine="643"/>
        <w:rPr>
          <w:rFonts w:ascii="仿宋" w:eastAsia="仿宋" w:hAnsi="仿宋"/>
          <w:sz w:val="32"/>
          <w:szCs w:val="32"/>
        </w:rPr>
      </w:pPr>
      <w:r w:rsidRPr="004E7090">
        <w:rPr>
          <w:rFonts w:ascii="仿宋" w:eastAsia="仿宋" w:hAnsi="仿宋" w:hint="eastAsia"/>
          <w:b/>
          <w:sz w:val="32"/>
          <w:szCs w:val="32"/>
        </w:rPr>
        <w:t>交通基础设施建设取得积极进展。</w:t>
      </w:r>
      <w:r w:rsidRPr="004E7090">
        <w:rPr>
          <w:rFonts w:ascii="仿宋" w:eastAsia="仿宋" w:hAnsi="仿宋" w:hint="eastAsia"/>
          <w:sz w:val="32"/>
          <w:szCs w:val="32"/>
        </w:rPr>
        <w:t>大潮高速公路(含大漳支线)全面动工建设，至2018年6月底累计完成投资28.19亿元，征地完成7092.84亩、占总任务的96.4%，完成房屋拆迁215座、占总任务的96.4%，基本完成坟墓迁移。大丰华高速公路前期工作有序推进。县城过境公路、湖寮至高陂连接线建设加快推进；完成西岩山旅游公路、陂寨移民安置点主干道工程、X961线茶阳至三河路面大修二期工程、高陂镇产业园区道路、三河至五丰路面改造、梅溪至和村灾毁路面中修、西河镇东方至石涵联络线和桃源至食饭溪公路改建工程；高陂赤山至留田过境公路、湖寮镇璜腾坑至高道联络线、枫朗至高陂路面改造以及大埔旅游产业公路建设有序推</w:t>
      </w:r>
      <w:r w:rsidRPr="004E7090">
        <w:rPr>
          <w:rFonts w:ascii="仿宋" w:eastAsia="仿宋" w:hAnsi="仿宋" w:hint="eastAsia"/>
          <w:sz w:val="32"/>
          <w:szCs w:val="32"/>
        </w:rPr>
        <w:lastRenderedPageBreak/>
        <w:t>进，湖寮至枫朗公路改建、大麻至高陂旅游产业公路等规划建设加快推进。</w:t>
      </w:r>
    </w:p>
    <w:p w:rsidR="00F72AD3" w:rsidRPr="004E7090" w:rsidRDefault="00F72AD3" w:rsidP="004E7090">
      <w:pPr>
        <w:ind w:firstLineChars="200" w:firstLine="643"/>
        <w:rPr>
          <w:rFonts w:ascii="仿宋" w:eastAsia="仿宋" w:hAnsi="仿宋"/>
          <w:sz w:val="32"/>
          <w:szCs w:val="32"/>
        </w:rPr>
      </w:pPr>
      <w:r w:rsidRPr="004E7090">
        <w:rPr>
          <w:rFonts w:ascii="仿宋" w:eastAsia="仿宋" w:hAnsi="仿宋" w:hint="eastAsia"/>
          <w:b/>
          <w:sz w:val="32"/>
          <w:szCs w:val="32"/>
        </w:rPr>
        <w:t>绿色能源设施建设有序推进。</w:t>
      </w:r>
      <w:r w:rsidRPr="004E7090">
        <w:rPr>
          <w:rFonts w:ascii="仿宋" w:eastAsia="仿宋" w:hAnsi="仿宋" w:hint="eastAsia"/>
          <w:sz w:val="32"/>
          <w:szCs w:val="32"/>
        </w:rPr>
        <w:t>高陂水利枢纽工程电站和三河舟角院电站规划建设有序推进，完成曲滩电站等国有水电站扩容改造，积极协调推进桃源风电场、省电力开发有限公司光伏发电和韩江内河核电项目落地实施。骨干电网和城乡输配设施建设不断加强，2016-2017年共投入2.34亿元，完成新建供电配网工程建设，供电能力和供电可靠性进一步提升。</w:t>
      </w:r>
    </w:p>
    <w:p w:rsidR="00F72AD3" w:rsidRPr="004E7090" w:rsidRDefault="00F72AD3" w:rsidP="004E7090">
      <w:pPr>
        <w:ind w:firstLineChars="200" w:firstLine="643"/>
        <w:rPr>
          <w:rFonts w:ascii="仿宋" w:eastAsia="仿宋" w:hAnsi="仿宋"/>
          <w:sz w:val="32"/>
          <w:szCs w:val="32"/>
        </w:rPr>
      </w:pPr>
      <w:r w:rsidRPr="004E7090">
        <w:rPr>
          <w:rFonts w:ascii="仿宋" w:eastAsia="仿宋" w:hAnsi="仿宋" w:hint="eastAsia"/>
          <w:b/>
          <w:sz w:val="32"/>
          <w:szCs w:val="32"/>
        </w:rPr>
        <w:t>水利基础设施进一步健全。</w:t>
      </w:r>
      <w:r w:rsidRPr="004E7090">
        <w:rPr>
          <w:rFonts w:ascii="仿宋" w:eastAsia="仿宋" w:hAnsi="仿宋" w:hint="eastAsia"/>
          <w:sz w:val="32"/>
          <w:szCs w:val="32"/>
        </w:rPr>
        <w:t>高陂水利枢纽工程建设有序推进，征地拆迁和6个移民安置点规划建设有效推进。山区五市中小河流治理项目进展顺利，2016-2017年共投入1.76亿元完成莒溪水、梅潭河枫朗镇段等12宗107.8公里治理项目；2018年投入2216.58万元，推进恭州水、双坑水2宗17.8公里治理项目，至6月底，2宗工程已动工建设，完成投资373万元。村村通自来水工程推进顺利，2016-2017年度66宗工程已完成，2018年计划实施13宗，目前正开展立项、招标等工作。大埔县革命老区及原中央苏区崩岗治理一期工程目前正开展前期工作。山丰水库工程顺利推进，已基本完成征地、库区清表、大坝坝基平整及导流洞开挖衬砌等工作，正在进行进水口闸室交通桥、上坝公路施工。推进镇村污水处理设施建设，已完成11座村级污水处理厂建设，</w:t>
      </w:r>
      <w:r w:rsidRPr="004E7090">
        <w:rPr>
          <w:rFonts w:ascii="仿宋" w:eastAsia="仿宋" w:hAnsi="仿宋" w:hint="eastAsia"/>
          <w:sz w:val="32"/>
          <w:szCs w:val="32"/>
        </w:rPr>
        <w:lastRenderedPageBreak/>
        <w:t>百侯曹鲇、大东白土、茶阳花窗、枫朗黄沙坑等村级污水处理站正在施工；西河镇、青溪镇、枫朗镇镇级污水处理厂已完成主体工程建设，大埔角、丰溪林场、洲瑞镇级污水处理厂正在施工，大东镇、桃源镇、茶阳镇级污水处理厂已进场勘测。规划建设韩江治理工程广东梅州段——大埔县高陂防洪堤治理工程，已完成可研报告编制。</w:t>
      </w:r>
    </w:p>
    <w:p w:rsidR="00F72AD3" w:rsidRPr="004E7090" w:rsidRDefault="00F72AD3" w:rsidP="004E7090">
      <w:pPr>
        <w:ind w:firstLineChars="200" w:firstLine="643"/>
        <w:rPr>
          <w:rFonts w:ascii="仿宋" w:eastAsia="仿宋" w:hAnsi="仿宋"/>
          <w:sz w:val="32"/>
          <w:szCs w:val="32"/>
        </w:rPr>
      </w:pPr>
      <w:r w:rsidRPr="004E7090">
        <w:rPr>
          <w:rFonts w:ascii="仿宋" w:eastAsia="仿宋" w:hAnsi="仿宋" w:hint="eastAsia"/>
          <w:b/>
          <w:sz w:val="32"/>
          <w:szCs w:val="32"/>
        </w:rPr>
        <w:t>公共信息服务水平加快提升。</w:t>
      </w:r>
      <w:r w:rsidRPr="004E7090">
        <w:rPr>
          <w:rFonts w:ascii="仿宋" w:eastAsia="仿宋" w:hAnsi="仿宋" w:hint="eastAsia"/>
          <w:sz w:val="32"/>
          <w:szCs w:val="32"/>
        </w:rPr>
        <w:t>截至2018年上半年，全县光纤接入用户达6万多户，光纤入户率提升至71%。全部行政村已通光纤，城县用户、农村镇区光纤接入能力达到100Mbps以上。光缆长度达9000多公里。在全县</w:t>
      </w:r>
      <w:r w:rsidR="001D3CAF" w:rsidRPr="004E7090">
        <w:rPr>
          <w:rFonts w:ascii="仿宋" w:eastAsia="仿宋" w:hAnsi="仿宋" w:hint="eastAsia"/>
          <w:sz w:val="32"/>
          <w:szCs w:val="32"/>
        </w:rPr>
        <w:t>256</w:t>
      </w:r>
      <w:r w:rsidRPr="004E7090">
        <w:rPr>
          <w:rFonts w:ascii="仿宋" w:eastAsia="仿宋" w:hAnsi="仿宋" w:hint="eastAsia"/>
          <w:sz w:val="32"/>
          <w:szCs w:val="32"/>
        </w:rPr>
        <w:t>多个行政村</w:t>
      </w:r>
      <w:r w:rsidR="001D3CAF" w:rsidRPr="004E7090">
        <w:rPr>
          <w:rFonts w:ascii="仿宋" w:eastAsia="仿宋" w:hAnsi="仿宋" w:hint="eastAsia"/>
          <w:sz w:val="32"/>
          <w:szCs w:val="32"/>
        </w:rPr>
        <w:t>（社区）</w:t>
      </w:r>
      <w:r w:rsidRPr="004E7090">
        <w:rPr>
          <w:rFonts w:ascii="仿宋" w:eastAsia="仿宋" w:hAnsi="仿宋" w:hint="eastAsia"/>
          <w:sz w:val="32"/>
          <w:szCs w:val="32"/>
        </w:rPr>
        <w:t>建设了650多个基站，实现了行政村4G的网络全覆盖。引进深圳百米生活有限公司，在全县各单位、各旅游景点、医院、学校开通WIFI热点3000多个，并计划利用大数据共建大埔陶瓷特色电子商务平台、长寿食品特产商务平台。与中国移动广东公司梅州分公司签署战略合作框架协议，推进“智慧城市”建设。完成24</w:t>
      </w:r>
      <w:r w:rsidR="00724BED" w:rsidRPr="004E7090">
        <w:rPr>
          <w:rFonts w:ascii="仿宋" w:eastAsia="仿宋" w:hAnsi="仿宋" w:hint="eastAsia"/>
          <w:sz w:val="32"/>
          <w:szCs w:val="32"/>
        </w:rPr>
        <w:t>5</w:t>
      </w:r>
      <w:r w:rsidRPr="004E7090">
        <w:rPr>
          <w:rFonts w:ascii="仿宋" w:eastAsia="仿宋" w:hAnsi="仿宋" w:hint="eastAsia"/>
          <w:sz w:val="32"/>
          <w:szCs w:val="32"/>
        </w:rPr>
        <w:t>个行政村原中央苏区农村超高速无线局域网试点建设。</w:t>
      </w:r>
    </w:p>
    <w:p w:rsidR="00F72AD3" w:rsidRPr="004E7090" w:rsidRDefault="00F72AD3" w:rsidP="004E7090">
      <w:pPr>
        <w:ind w:firstLineChars="200" w:firstLine="643"/>
        <w:rPr>
          <w:rFonts w:ascii="仿宋" w:eastAsia="仿宋" w:hAnsi="仿宋"/>
          <w:b/>
          <w:sz w:val="32"/>
          <w:szCs w:val="32"/>
        </w:rPr>
      </w:pPr>
      <w:r w:rsidRPr="004E7090">
        <w:rPr>
          <w:rFonts w:ascii="仿宋" w:eastAsia="仿宋" w:hAnsi="仿宋" w:hint="eastAsia"/>
          <w:b/>
          <w:sz w:val="32"/>
          <w:szCs w:val="32"/>
        </w:rPr>
        <w:t>（三）新型城镇化积极推进，美丽城乡建设成效显著</w:t>
      </w:r>
    </w:p>
    <w:p w:rsidR="00F72AD3" w:rsidRPr="004E7090" w:rsidRDefault="00F72AD3" w:rsidP="004E7090">
      <w:pPr>
        <w:ind w:firstLineChars="200" w:firstLine="643"/>
        <w:rPr>
          <w:rFonts w:ascii="仿宋" w:eastAsia="仿宋" w:hAnsi="仿宋"/>
          <w:sz w:val="32"/>
          <w:szCs w:val="32"/>
        </w:rPr>
      </w:pPr>
      <w:r w:rsidRPr="004E7090">
        <w:rPr>
          <w:rFonts w:ascii="仿宋" w:eastAsia="仿宋" w:hAnsi="仿宋" w:hint="eastAsia"/>
          <w:b/>
          <w:sz w:val="32"/>
          <w:szCs w:val="32"/>
        </w:rPr>
        <w:t>城镇扩容提质步伐加快。</w:t>
      </w:r>
      <w:r w:rsidRPr="004E7090">
        <w:rPr>
          <w:rFonts w:ascii="仿宋" w:eastAsia="仿宋" w:hAnsi="仿宋" w:hint="eastAsia"/>
          <w:sz w:val="32"/>
          <w:szCs w:val="32"/>
        </w:rPr>
        <w:t>突出规划引领，完成《大埔县城市总体规划（2011-2020）》修编，完成万川新城、黎家坪新区控制性详细规划</w:t>
      </w:r>
      <w:r w:rsidR="00093268" w:rsidRPr="004E7090">
        <w:rPr>
          <w:rFonts w:ascii="仿宋" w:eastAsia="仿宋" w:hAnsi="仿宋" w:hint="eastAsia"/>
          <w:sz w:val="32"/>
          <w:szCs w:val="32"/>
        </w:rPr>
        <w:t>、县域乡村建设规划</w:t>
      </w:r>
      <w:r w:rsidRPr="004E7090">
        <w:rPr>
          <w:rFonts w:ascii="仿宋" w:eastAsia="仿宋" w:hAnsi="仿宋" w:hint="eastAsia"/>
          <w:sz w:val="32"/>
          <w:szCs w:val="32"/>
        </w:rPr>
        <w:t>及14个建制镇的总体规划编制</w:t>
      </w:r>
      <w:r w:rsidR="00093268" w:rsidRPr="004E7090">
        <w:rPr>
          <w:rFonts w:ascii="仿宋" w:eastAsia="仿宋" w:hAnsi="仿宋" w:hint="eastAsia"/>
          <w:sz w:val="32"/>
          <w:szCs w:val="32"/>
        </w:rPr>
        <w:t>，积极推进我县245个行政村村庄规划编制，</w:t>
      </w:r>
      <w:r w:rsidR="00093268" w:rsidRPr="004E7090">
        <w:rPr>
          <w:rFonts w:ascii="仿宋" w:eastAsia="仿宋" w:hAnsi="仿宋" w:hint="eastAsia"/>
          <w:sz w:val="32"/>
          <w:szCs w:val="32"/>
        </w:rPr>
        <w:lastRenderedPageBreak/>
        <w:t>启动了</w:t>
      </w:r>
      <w:r w:rsidRPr="004E7090">
        <w:rPr>
          <w:rFonts w:ascii="仿宋" w:eastAsia="仿宋" w:hAnsi="仿宋" w:hint="eastAsia"/>
          <w:sz w:val="32"/>
          <w:szCs w:val="32"/>
        </w:rPr>
        <w:t>《大埔县城市总体规划</w:t>
      </w:r>
      <w:r w:rsidR="00093268" w:rsidRPr="004E7090">
        <w:rPr>
          <w:rFonts w:ascii="仿宋" w:eastAsia="仿宋" w:hAnsi="仿宋" w:hint="eastAsia"/>
          <w:sz w:val="32"/>
          <w:szCs w:val="32"/>
        </w:rPr>
        <w:t>（2018--2035）</w:t>
      </w:r>
      <w:r w:rsidRPr="004E7090">
        <w:rPr>
          <w:rFonts w:ascii="仿宋" w:eastAsia="仿宋" w:hAnsi="仿宋" w:hint="eastAsia"/>
          <w:sz w:val="32"/>
          <w:szCs w:val="32"/>
        </w:rPr>
        <w:t>》</w:t>
      </w:r>
      <w:r w:rsidR="00093268" w:rsidRPr="004E7090">
        <w:rPr>
          <w:rFonts w:ascii="仿宋" w:eastAsia="仿宋" w:hAnsi="仿宋" w:hint="eastAsia"/>
          <w:sz w:val="32"/>
          <w:szCs w:val="32"/>
        </w:rPr>
        <w:t>的编制工作。</w:t>
      </w:r>
      <w:r w:rsidRPr="004E7090">
        <w:rPr>
          <w:rFonts w:ascii="仿宋" w:eastAsia="仿宋" w:hAnsi="仿宋" w:hint="eastAsia"/>
          <w:sz w:val="32"/>
          <w:szCs w:val="32"/>
        </w:rPr>
        <w:t>加快推进特色县城建设，以及高陂、大麻、茶阳三个具有县城功能的中心镇建设。不断完善城镇配套设施，着力提升城镇品质和功能。城东、城西两个“三旧”改造项目以及万川翰林二期工程、龙湾国际、西华新村、幸福城、碧桂园、奥园广场等超亿元城市综合体建设加快推进。打通内环中路等连接道路，完成新黎路、广福路改造提升工程；县城环城大道提升改造项目、建筑弃土场项目建设扎实推进；西环路人民医院段提升改造、五虎山山庄南路提升改造、内环东路路网及市场建设等项目建设前期工作已启动,完成大埔县数字化城市管理中心项目建设。完成县城500公里地下管线普查项目，荣获2016年中国地理信息产业优秀工程银奖。高陂、茶阳、大麻三个中心镇“六个一”项目建设已完成投资约7亿元，在规划编制、平台建设、产业发展、基础设施建设等方面都取得了有效进展。</w:t>
      </w:r>
    </w:p>
    <w:p w:rsidR="00F72AD3" w:rsidRPr="004E7090" w:rsidRDefault="00F72AD3" w:rsidP="004E7090">
      <w:pPr>
        <w:ind w:firstLineChars="200" w:firstLine="643"/>
        <w:rPr>
          <w:rFonts w:ascii="仿宋" w:eastAsia="仿宋" w:hAnsi="仿宋"/>
          <w:sz w:val="32"/>
          <w:szCs w:val="32"/>
        </w:rPr>
      </w:pPr>
      <w:r w:rsidRPr="004E7090">
        <w:rPr>
          <w:rFonts w:ascii="仿宋" w:eastAsia="仿宋" w:hAnsi="仿宋" w:hint="eastAsia"/>
          <w:b/>
          <w:sz w:val="32"/>
          <w:szCs w:val="32"/>
        </w:rPr>
        <w:t>强力推进城乡环境综合整治。</w:t>
      </w:r>
      <w:r w:rsidRPr="004E7090">
        <w:rPr>
          <w:rFonts w:ascii="仿宋" w:eastAsia="仿宋" w:hAnsi="仿宋" w:hint="eastAsia"/>
          <w:sz w:val="32"/>
          <w:szCs w:val="32"/>
        </w:rPr>
        <w:t>建成县城生活垃圾填埋场无害化渗滤液处理站，推行“户投放、村收集、镇转运、县处理”，城区、农村生活垃圾无害化处理率分别达100%、97.52%。完成县城环城大道、虎南路3.3公里截污管网建设，三河镇污水处理设施首期工程扎实推进。深入开展“六乱”整治和打击“两违”行动,制定实施《大埔县市容环境卫生网格化管理办法》。县城建成区绿化覆盖率达43.88％，人均</w:t>
      </w:r>
      <w:r w:rsidRPr="004E7090">
        <w:rPr>
          <w:rFonts w:ascii="仿宋" w:eastAsia="仿宋" w:hAnsi="仿宋" w:hint="eastAsia"/>
          <w:sz w:val="32"/>
          <w:szCs w:val="32"/>
        </w:rPr>
        <w:lastRenderedPageBreak/>
        <w:t>公园绿地面积21.32平方米，人居环境不断优化，省卫生县城通过复审。</w:t>
      </w:r>
    </w:p>
    <w:p w:rsidR="00F72AD3" w:rsidRPr="004E7090" w:rsidRDefault="00F72AD3" w:rsidP="004E7090">
      <w:pPr>
        <w:ind w:firstLineChars="200" w:firstLine="643"/>
        <w:rPr>
          <w:rFonts w:ascii="仿宋" w:eastAsia="仿宋" w:hAnsi="仿宋"/>
          <w:sz w:val="32"/>
          <w:szCs w:val="32"/>
        </w:rPr>
      </w:pPr>
      <w:r w:rsidRPr="004E7090">
        <w:rPr>
          <w:rFonts w:ascii="仿宋" w:eastAsia="仿宋" w:hAnsi="仿宋" w:hint="eastAsia"/>
          <w:b/>
          <w:sz w:val="32"/>
          <w:szCs w:val="32"/>
        </w:rPr>
        <w:t>房地产市场运行总体稳健。</w:t>
      </w:r>
      <w:r w:rsidRPr="004E7090">
        <w:rPr>
          <w:rFonts w:ascii="仿宋" w:eastAsia="仿宋" w:hAnsi="仿宋" w:hint="eastAsia"/>
          <w:sz w:val="32"/>
          <w:szCs w:val="32"/>
        </w:rPr>
        <w:t>根据《梅州市供给侧结构性改革去库存行动计划（2016-2018年）》，我县制订了《大埔县供给侧结构性改革去库存行动计划（2016-2018年）》，2016-2018年非住宅商品房去库存目标任务0.3万平方米。2017年全县办理商品住宅预售许可面积21.73万㎡，成交面积26.14万平方米，2071套，成交金额115814.34万元，成交均价每平方4430元，成交面积同比增长5.96％，且超出当年预售许可面积20.3%，去库存进展顺利。非住宅商品房方面，2017年度市级下达的去库存任务为非住宅商品房0.2万平方米，2017年全年完成去库存0.7万平方米，完成年度任务的350％。在上级未下达2018年去库存任务的情况下，我县按照2016年度、2017年度的做法，继续完成非住宅去库存工作。2018年1至6月份完成非住宅商品去库存0.5万平方米。</w:t>
      </w:r>
    </w:p>
    <w:p w:rsidR="00F72AD3" w:rsidRPr="004E7090" w:rsidRDefault="00F72AD3" w:rsidP="004E7090">
      <w:pPr>
        <w:ind w:firstLineChars="200" w:firstLine="643"/>
        <w:rPr>
          <w:rFonts w:ascii="仿宋" w:eastAsia="仿宋" w:hAnsi="仿宋"/>
          <w:sz w:val="32"/>
          <w:szCs w:val="32"/>
        </w:rPr>
      </w:pPr>
      <w:r w:rsidRPr="004E7090">
        <w:rPr>
          <w:rFonts w:ascii="仿宋" w:eastAsia="仿宋" w:hAnsi="仿宋" w:hint="eastAsia"/>
          <w:b/>
          <w:sz w:val="32"/>
          <w:szCs w:val="32"/>
        </w:rPr>
        <w:t>美丽乡村建设有序推进。</w:t>
      </w:r>
      <w:r w:rsidRPr="004E7090">
        <w:rPr>
          <w:rFonts w:ascii="仿宋" w:eastAsia="仿宋" w:hAnsi="仿宋" w:hint="eastAsia"/>
          <w:sz w:val="32"/>
          <w:szCs w:val="32"/>
        </w:rPr>
        <w:t>编制完成</w:t>
      </w:r>
      <w:r w:rsidR="00392090" w:rsidRPr="004E7090">
        <w:rPr>
          <w:rFonts w:ascii="仿宋" w:eastAsia="仿宋" w:hAnsi="仿宋" w:hint="eastAsia"/>
          <w:sz w:val="32"/>
          <w:szCs w:val="32"/>
        </w:rPr>
        <w:t>199</w:t>
      </w:r>
      <w:r w:rsidRPr="004E7090">
        <w:rPr>
          <w:rFonts w:ascii="仿宋" w:eastAsia="仿宋" w:hAnsi="仿宋" w:hint="eastAsia"/>
          <w:sz w:val="32"/>
          <w:szCs w:val="32"/>
        </w:rPr>
        <w:t>条行政村的村庄规划（剩余</w:t>
      </w:r>
      <w:r w:rsidR="00392090" w:rsidRPr="004E7090">
        <w:rPr>
          <w:rFonts w:ascii="仿宋" w:eastAsia="仿宋" w:hAnsi="仿宋" w:hint="eastAsia"/>
          <w:sz w:val="32"/>
          <w:szCs w:val="32"/>
        </w:rPr>
        <w:t>46</w:t>
      </w:r>
      <w:r w:rsidRPr="004E7090">
        <w:rPr>
          <w:rFonts w:ascii="仿宋" w:eastAsia="仿宋" w:hAnsi="仿宋" w:hint="eastAsia"/>
          <w:sz w:val="32"/>
          <w:szCs w:val="32"/>
        </w:rPr>
        <w:t>条正在进行中）。抓好“三清三拆三整治”、美化绿化和管网整治，57</w:t>
      </w:r>
      <w:r w:rsidR="00724BED" w:rsidRPr="004E7090">
        <w:rPr>
          <w:rFonts w:ascii="仿宋" w:eastAsia="仿宋" w:hAnsi="仿宋" w:hint="eastAsia"/>
          <w:sz w:val="32"/>
          <w:szCs w:val="32"/>
        </w:rPr>
        <w:t>条</w:t>
      </w:r>
      <w:r w:rsidRPr="004E7090">
        <w:rPr>
          <w:rFonts w:ascii="仿宋" w:eastAsia="仿宋" w:hAnsi="仿宋" w:hint="eastAsia"/>
          <w:sz w:val="32"/>
          <w:szCs w:val="32"/>
        </w:rPr>
        <w:t>省定贫困村340个20户以上自然村“三清三拆三整治”完成率75%。补齐基础设施短板，完善农村供水、道路、污水、垃圾、住房和公共设施等基础设施建设。50%自然村完成集中供水；81%自然村完成村委通</w:t>
      </w:r>
      <w:r w:rsidRPr="004E7090">
        <w:rPr>
          <w:rFonts w:ascii="仿宋" w:eastAsia="仿宋" w:hAnsi="仿宋" w:hint="eastAsia"/>
          <w:sz w:val="32"/>
          <w:szCs w:val="32"/>
        </w:rPr>
        <w:lastRenderedPageBreak/>
        <w:t>自然村道路硬底化，35%自然村完成村内巷道硬底化；10%自然村完成雨污分流，12%自然村在建污水处理设施。发展“一村一产业”“一村一品”特色产业，建成西河镇漳北村粉葛种植基地、黄堂村白莲水产立体生态种养基地、纯德村猕猴桃种植基地。结合各村资源禀赋，按照“一村一策、错位开发、串珠成链、联动发展”发展思路，突出连线连片整体效果。成功打造具有鲜明客家乡村自然和人文特色的西河镇“五村绕漳河”省级新农村连片示范区。</w:t>
      </w:r>
    </w:p>
    <w:p w:rsidR="00F72AD3" w:rsidRPr="004E7090" w:rsidRDefault="00F72AD3" w:rsidP="004E7090">
      <w:pPr>
        <w:ind w:firstLineChars="200" w:firstLine="643"/>
        <w:rPr>
          <w:rFonts w:ascii="仿宋" w:eastAsia="仿宋" w:hAnsi="仿宋"/>
          <w:b/>
          <w:sz w:val="32"/>
          <w:szCs w:val="32"/>
        </w:rPr>
      </w:pPr>
      <w:r w:rsidRPr="004E7090">
        <w:rPr>
          <w:rFonts w:ascii="仿宋" w:eastAsia="仿宋" w:hAnsi="仿宋" w:hint="eastAsia"/>
          <w:b/>
          <w:sz w:val="32"/>
          <w:szCs w:val="32"/>
        </w:rPr>
        <w:t>（四）文化教育事业加快发展，大埔客家文化魅力彰显</w:t>
      </w:r>
    </w:p>
    <w:p w:rsidR="00F72AD3" w:rsidRPr="004E7090" w:rsidRDefault="00F72AD3" w:rsidP="004E7090">
      <w:pPr>
        <w:ind w:firstLineChars="200" w:firstLine="643"/>
        <w:rPr>
          <w:rFonts w:ascii="仿宋" w:eastAsia="仿宋" w:hAnsi="仿宋"/>
          <w:sz w:val="32"/>
          <w:szCs w:val="32"/>
        </w:rPr>
      </w:pPr>
      <w:r w:rsidRPr="004E7090">
        <w:rPr>
          <w:rFonts w:ascii="仿宋" w:eastAsia="仿宋" w:hAnsi="仿宋" w:hint="eastAsia"/>
          <w:b/>
          <w:sz w:val="32"/>
          <w:szCs w:val="32"/>
        </w:rPr>
        <w:t>文化产业发展水平不断提升。</w:t>
      </w:r>
      <w:r w:rsidRPr="004E7090">
        <w:rPr>
          <w:rFonts w:ascii="仿宋" w:eastAsia="仿宋" w:hAnsi="仿宋" w:hint="eastAsia"/>
          <w:sz w:val="32"/>
          <w:szCs w:val="32"/>
        </w:rPr>
        <w:t>现代公共文化服务体系加速推进，2017年全县建立了10个文化驿站、50个“三多三促”农村文化俱乐部、158个综合性文化服务中心和西河、高陂、茶阳、大东4个文体广场示范点。文化产业融合发展显著，全面打响了“客家香格里拉</w:t>
      </w:r>
      <w:r w:rsidRPr="004E7090">
        <w:rPr>
          <w:rFonts w:ascii="仿宋" w:hAnsi="仿宋" w:hint="eastAsia"/>
          <w:sz w:val="32"/>
          <w:szCs w:val="32"/>
        </w:rPr>
        <w:t>•</w:t>
      </w:r>
      <w:r w:rsidRPr="004E7090">
        <w:rPr>
          <w:rFonts w:ascii="仿宋" w:eastAsia="仿宋" w:hAnsi="仿宋" w:hint="eastAsia"/>
          <w:sz w:val="32"/>
          <w:szCs w:val="32"/>
        </w:rPr>
        <w:t>文化大埔”品牌，2016年成功将百侯名镇旅游区申报为首批8处“广东省文化旅游融合发展示范区”之一；以文化产业基地（园区）建设，加快推进陶瓷文化创意产业园创建省级文化产业示范园区，培育新型文化业态，形成了全县经济发展新的增长点。文化资源保护显著，2017年全县已成功申报县级以上非物质文化遗产保护名录共70项，其中国家级非物质文化遗产名录1项（大埔广东汉乐），省级非物质文化遗产名录7项；文保方面，目前全县拥有国家级文保单位1处、省级17处、市级</w:t>
      </w:r>
      <w:r w:rsidRPr="004E7090">
        <w:rPr>
          <w:rFonts w:ascii="仿宋" w:eastAsia="仿宋" w:hAnsi="仿宋" w:hint="eastAsia"/>
          <w:sz w:val="32"/>
          <w:szCs w:val="32"/>
        </w:rPr>
        <w:lastRenderedPageBreak/>
        <w:t>15处、县级71处和特色民居302座，被称为中国客家民居大观园。</w:t>
      </w:r>
    </w:p>
    <w:p w:rsidR="00F72AD3" w:rsidRPr="004E7090" w:rsidRDefault="00F72AD3" w:rsidP="004E7090">
      <w:pPr>
        <w:ind w:firstLineChars="200" w:firstLine="643"/>
        <w:rPr>
          <w:rFonts w:ascii="仿宋" w:eastAsia="仿宋" w:hAnsi="仿宋"/>
          <w:sz w:val="32"/>
          <w:szCs w:val="32"/>
        </w:rPr>
      </w:pPr>
      <w:r w:rsidRPr="004E7090">
        <w:rPr>
          <w:rFonts w:ascii="仿宋" w:eastAsia="仿宋" w:hAnsi="仿宋" w:hint="eastAsia"/>
          <w:b/>
          <w:sz w:val="32"/>
          <w:szCs w:val="32"/>
        </w:rPr>
        <w:t>教育事业发展水平不断提高。</w:t>
      </w:r>
      <w:r w:rsidRPr="004E7090">
        <w:rPr>
          <w:rFonts w:ascii="仿宋" w:eastAsia="仿宋" w:hAnsi="仿宋" w:hint="eastAsia"/>
          <w:sz w:val="32"/>
          <w:szCs w:val="32"/>
        </w:rPr>
        <w:t>学前教育普惠发展，2017年全县49所幼儿园，普惠性幼儿园40所，在园幼儿12863人，学前三年毛入园率98.03%，比原定规划目标92%增加6.3个百分点；学前一年毛入园率100%。义务教育均衡发展，2017年全县现有中小学校116所，全县九年义务教育阶段学生有41747人，小学和初中入学率100%，九年义务教育阶段巩固率为97.91%以上，比原定规划目标97.2%增加0.71个百分点；全县义务教育阶段学校均完成标准化建设覆盖率达100%。高中教育优质发展，全县高中学生有17736人，全县户籍人口高中阶段教育毛入学率达95.6%以上，比原定规划目标95.35%增加0.25个百分点。职成教育快速发展，全校学生有2590人，成功创建“国家级农村职业教育和成人教育示范县”。</w:t>
      </w:r>
    </w:p>
    <w:p w:rsidR="00F72AD3" w:rsidRPr="004E7090" w:rsidRDefault="00F72AD3" w:rsidP="004E7090">
      <w:pPr>
        <w:ind w:firstLineChars="200" w:firstLine="643"/>
        <w:rPr>
          <w:rFonts w:ascii="仿宋" w:eastAsia="仿宋" w:hAnsi="仿宋"/>
          <w:b/>
          <w:sz w:val="32"/>
          <w:szCs w:val="32"/>
        </w:rPr>
      </w:pPr>
      <w:r w:rsidRPr="004E7090">
        <w:rPr>
          <w:rFonts w:ascii="仿宋" w:eastAsia="仿宋" w:hAnsi="仿宋" w:hint="eastAsia"/>
          <w:b/>
          <w:sz w:val="32"/>
          <w:szCs w:val="32"/>
        </w:rPr>
        <w:t>（五）公共服务体系不断完善，社会事业全面发展</w:t>
      </w:r>
    </w:p>
    <w:p w:rsidR="00F72AD3" w:rsidRPr="004E7090" w:rsidRDefault="00F72AD3" w:rsidP="004E7090">
      <w:pPr>
        <w:ind w:firstLineChars="200" w:firstLine="643"/>
        <w:rPr>
          <w:rFonts w:ascii="仿宋" w:eastAsia="仿宋" w:hAnsi="仿宋"/>
          <w:sz w:val="32"/>
          <w:szCs w:val="32"/>
        </w:rPr>
      </w:pPr>
      <w:r w:rsidRPr="004E7090">
        <w:rPr>
          <w:rFonts w:ascii="仿宋" w:eastAsia="仿宋" w:hAnsi="仿宋" w:hint="eastAsia"/>
          <w:b/>
          <w:sz w:val="32"/>
          <w:szCs w:val="32"/>
        </w:rPr>
        <w:t>基本公共服务体系不断完善。</w:t>
      </w:r>
      <w:r w:rsidRPr="004E7090">
        <w:rPr>
          <w:rFonts w:ascii="仿宋" w:eastAsia="仿宋" w:hAnsi="仿宋" w:hint="eastAsia"/>
          <w:sz w:val="32"/>
          <w:szCs w:val="32"/>
        </w:rPr>
        <w:t>就业工作提质显效，2016年以来，实现城镇新增就业6290人, “十三五”目标完成率为41.93%；城镇登记失业率控制在2.37%以内，已达到“十三五”规划目标要求。社会保障水平稳步提高，到2018年上半年，全县参加失业、工伤、生育人数分别为16981人、19971人、20598人。全县基本养老保险参保率为78.7%，“十</w:t>
      </w:r>
      <w:r w:rsidRPr="004E7090">
        <w:rPr>
          <w:rFonts w:ascii="仿宋" w:eastAsia="仿宋" w:hAnsi="仿宋" w:hint="eastAsia"/>
          <w:sz w:val="32"/>
          <w:szCs w:val="32"/>
        </w:rPr>
        <w:lastRenderedPageBreak/>
        <w:t>三五”目标完成率为82.63%；全县基本医疗保险参保率为100%，已达到“十三五”规划目标要求。人才队伍建设成效显著，2016年以来，全县专业技术人才总量为5941人，“十三五”目标完成率为41.53%。劳动关系和谐发展，目前全县企业劳动合同签订率达94%，劳动人事争议仲裁累计结案率达100%，劳动保障监察举报投诉案件结案率为100%，基本达到“十三五”目标要求。公共服务能力明显增强，坚持大力推动人力资源市场、社保经办服务机构、信息化建设等公共服务体系建设，社会保障卡户籍人口持卡人数已达56.52万人，社会保障卡持卡人口覆盖率为95.80%。</w:t>
      </w:r>
    </w:p>
    <w:p w:rsidR="004E7090" w:rsidRDefault="00F72AD3" w:rsidP="004E7090">
      <w:pPr>
        <w:ind w:firstLineChars="200" w:firstLine="643"/>
        <w:rPr>
          <w:rFonts w:ascii="仿宋" w:eastAsia="仿宋" w:hAnsi="仿宋"/>
          <w:sz w:val="32"/>
          <w:szCs w:val="32"/>
        </w:rPr>
      </w:pPr>
      <w:r w:rsidRPr="004E7090">
        <w:rPr>
          <w:rFonts w:ascii="仿宋" w:eastAsia="仿宋" w:hAnsi="仿宋" w:hint="eastAsia"/>
          <w:b/>
          <w:sz w:val="32"/>
          <w:szCs w:val="32"/>
        </w:rPr>
        <w:t>医疗卫生保障体系不断完善。</w:t>
      </w:r>
      <w:r w:rsidRPr="004E7090">
        <w:rPr>
          <w:rFonts w:ascii="仿宋" w:eastAsia="仿宋" w:hAnsi="仿宋" w:hint="eastAsia"/>
          <w:sz w:val="32"/>
          <w:szCs w:val="32"/>
        </w:rPr>
        <w:t>持续完善了县、镇、村三级医疗服务体系，稳步推进医疗卫生基础设施建设，加快提升公共服务能力建设。全民医保体系不断健全，2017年全县城乡居民医保大病已补偿2762人，支付金额1165万元；深化医保制度改革，积极推行医保支付制度改革，定点医疗机构严格按照《广东省医疗保险诊疗常规》进行日常诊治。医疗卫生人才队伍建设加快，2016年以来，共招聘218人，其中2016年全县公开招聘88名（县级17名、镇级71名）专业人员，2017年招聘130名专业人员。公共卫生服务能力进一步提升，全县人均基本公共卫生服务经费标准提高到50元，确保不断提高医疗卫生保障水平，提升群众幸福指数；2017年全县居民健康档案电子档应建档381765人，已建电</w:t>
      </w:r>
      <w:r w:rsidRPr="004E7090">
        <w:rPr>
          <w:rFonts w:ascii="仿宋" w:eastAsia="仿宋" w:hAnsi="仿宋" w:hint="eastAsia"/>
          <w:sz w:val="32"/>
          <w:szCs w:val="32"/>
        </w:rPr>
        <w:lastRenderedPageBreak/>
        <w:t>子建档288549人，电子建档率75.6%。</w:t>
      </w:r>
    </w:p>
    <w:p w:rsidR="00F72AD3" w:rsidRPr="004E7090" w:rsidRDefault="00F72AD3" w:rsidP="004E7090">
      <w:pPr>
        <w:ind w:firstLineChars="200" w:firstLine="643"/>
        <w:rPr>
          <w:rFonts w:ascii="仿宋" w:eastAsia="仿宋" w:hAnsi="仿宋"/>
          <w:b/>
          <w:sz w:val="32"/>
          <w:szCs w:val="32"/>
        </w:rPr>
      </w:pPr>
      <w:r w:rsidRPr="004E7090">
        <w:rPr>
          <w:rFonts w:ascii="仿宋" w:eastAsia="仿宋" w:hAnsi="仿宋" w:hint="eastAsia"/>
          <w:b/>
          <w:sz w:val="32"/>
          <w:szCs w:val="32"/>
        </w:rPr>
        <w:t>（六）贯彻落实绿色发展理念，生态文明建设取得新进展</w:t>
      </w:r>
    </w:p>
    <w:p w:rsidR="00F72AD3" w:rsidRPr="004E7090" w:rsidRDefault="00F72AD3" w:rsidP="004E7090">
      <w:pPr>
        <w:ind w:firstLineChars="200" w:firstLine="643"/>
        <w:rPr>
          <w:rFonts w:ascii="仿宋" w:eastAsia="仿宋" w:hAnsi="仿宋"/>
          <w:sz w:val="32"/>
          <w:szCs w:val="32"/>
        </w:rPr>
      </w:pPr>
      <w:r w:rsidRPr="004E7090">
        <w:rPr>
          <w:rFonts w:ascii="仿宋" w:eastAsia="仿宋" w:hAnsi="仿宋" w:hint="eastAsia"/>
          <w:b/>
          <w:sz w:val="32"/>
          <w:szCs w:val="32"/>
        </w:rPr>
        <w:t>污染防治攻坚战积极推进。</w:t>
      </w:r>
      <w:r w:rsidRPr="004E7090">
        <w:rPr>
          <w:rFonts w:ascii="仿宋" w:eastAsia="仿宋" w:hAnsi="仿宋" w:hint="eastAsia"/>
          <w:sz w:val="32"/>
          <w:szCs w:val="32"/>
        </w:rPr>
        <w:t>认真实施大气污染防治行动，保障环境空气质量。按照市环保局《梅州市大气污染防治行动方案（2014-2017年）实施方案》部署，采取有效措施，加强黄标车淘汰工作、加快推进挥发性有机物治理、高污染燃料锅炉整治、建筑扬尘污染整治和露天焚烧废弃物污染整治等，确保环境空气质量全面达标。开展水污染防治，保护水资源环境。认真抓好“水十条”和“南粤水更清”行动计划的贯彻落实，强化源头防治、污染治理。按照“河长制”部署，抓好水污染防治工作。重点开展梅潭河、汀江河青溪库区综合整治，并制订《大埔县汀江河长制管护工作方案》，建立齐抓共管、标本兼治的长效工作机制，从根本上持久保护汀江河生态环境安全。加强饮用水源保护，强化国控、省控和跨县考核断面水质考核和保护，持续改善水环境质量，确保完成省、市下达的水环境保护目标任务。开展土壤污染防治工作。制订《大埔县土壤污染防治工作方案》。完成农用地土壤污染状况详查点位的核实和布点工作。加强县城污水处理厂污泥处理处置的监管，督促污水处理厂建立污泥产期、产量、去向等详细台账，健全相关管理制度，防止产生二次污染。全县水环境质量、饮用水源水质、城区环境空气</w:t>
      </w:r>
      <w:r w:rsidRPr="004E7090">
        <w:rPr>
          <w:rFonts w:ascii="仿宋" w:eastAsia="仿宋" w:hAnsi="仿宋" w:hint="eastAsia"/>
          <w:sz w:val="32"/>
          <w:szCs w:val="32"/>
        </w:rPr>
        <w:lastRenderedPageBreak/>
        <w:t>质量全面达标，韩江干流及支流汀江、梅潭河等江河水质达到相应水体功能要求和省水质考核要求，地表水Ⅲ类及优于Ⅲ类水质达标率100%，饮用水源水质达标率100%，县城空气优良率98.5%，空气质量在全市排名前列。</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生态建设和保护成效显著。</w:t>
      </w:r>
      <w:r w:rsidRPr="004E7090">
        <w:rPr>
          <w:rFonts w:ascii="仿宋" w:eastAsia="仿宋" w:hAnsi="仿宋" w:hint="eastAsia"/>
          <w:sz w:val="32"/>
          <w:szCs w:val="32"/>
        </w:rPr>
        <w:t>以市创建国家森林城市和国家环保模范城市为契机，深入开展新一轮“绿满梅州”大行动，加大生态景观林带、森林碳汇、森林进城围城、乡村绿化美化等四大重点林业生态工程的建设力度，加强森林资源的抚育和管护，全面完成碳汇造林1.49万亩，完成矿山复绿面积约17850平方米，新增3个镇级森林公园，成功创建广东阴那山国家森林公园，森林覆盖率达79.88%，居梅州市第一。连续两年荣获“中国最美丽县”、“中国深呼吸小城100佳”称号。加强中小河流域治理工程，治理山区中小河流10宗84.4公里；改建塘坝（山塘）7宗，改建水陂（堰）3宗，灌区渠道加固15宗、砼衬砌灌溉渠道34.2KM，灌区灌排结合护坎5宗、护坎3.7KM，喷灌2宗，项目区灌溉面积0.81万亩；修复水毁水利工程78处，维修巩固治理水土流失4.5平方公里。</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节能减排成效显著。</w:t>
      </w:r>
      <w:r w:rsidRPr="004E7090">
        <w:rPr>
          <w:rFonts w:ascii="仿宋" w:eastAsia="仿宋" w:hAnsi="仿宋" w:hint="eastAsia"/>
          <w:sz w:val="32"/>
          <w:szCs w:val="32"/>
        </w:rPr>
        <w:t>落实“四大减排”，有效控制污染物排放总量，单位GDP能耗、主要污染物减排通过省、市考核。加强环境基础设施建设，完成县城污水处理厂二期（日处理量2万吨）主体工程和配套管网工程建设并投入正常运</w:t>
      </w:r>
      <w:r w:rsidRPr="004E7090">
        <w:rPr>
          <w:rFonts w:ascii="仿宋" w:eastAsia="仿宋" w:hAnsi="仿宋" w:hint="eastAsia"/>
          <w:sz w:val="32"/>
          <w:szCs w:val="32"/>
        </w:rPr>
        <w:lastRenderedPageBreak/>
        <w:t>行，削减COD169.63吨、氨氮32.54吨；建成高陂和茶阳中心镇污水处理厂，规划建设三河镇、百侯镇等梅潭河沿线镇污水处理厂和配套管网工程。建成县城生活垃圾填埋场二期生活垃圾无害化渗滤液处理站，设计处理规模150立方米/天，已投入试运营。加强淘汰落后产能工作，实施结构减排。依法关闭大埔县三洲纸厂，削减了COD4.25吨，关闭茶阳镇大觉村2间小造纸加工作坊，取缔茶阳镇群丰村的非法浸竹厂。加强农业源和交通源污染整治。开展畜禽养殖业污染防治专项行动，着力推进规模化畜禽养殖场集中整治和深度处理，削减COD91.25吨、氨氮14.96吨。青溪库区两岸畜禽养殖场整治、网箱养殖整治，削减COD380.17吨、氨氮85.15吨。引导农业科学开发，合理使用化肥农药，减少农业污染。推进机动车氮氧化物减排，加强机动车环保定期检测和机动车环保标志发放工作。加强环境保护宣教和科普，倡导低碳生产生活方式减排。</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强化环境执法监管和环境问题的整改落实。</w:t>
      </w:r>
      <w:r w:rsidRPr="004E7090">
        <w:rPr>
          <w:rFonts w:ascii="仿宋" w:eastAsia="仿宋" w:hAnsi="仿宋" w:hint="eastAsia"/>
          <w:sz w:val="32"/>
          <w:szCs w:val="32"/>
        </w:rPr>
        <w:t>加强对重点领域重点区域的环境监管力度，开展环境保护大检查专项行动、环境安全隐患排查治理等环保专项行动，全面检查排污单位和建设项目，严厉打击环境违法行为。共出动执法人员228人次，检查企业76家，发出行政责令改正违法行为通知书5份，行政处罚4宗，罚款24.6026万元，移送公安机关查办案件1宗。着力抓好中央环保督察问题的整改，对中央</w:t>
      </w:r>
      <w:r w:rsidRPr="004E7090">
        <w:rPr>
          <w:rFonts w:ascii="仿宋" w:eastAsia="仿宋" w:hAnsi="仿宋" w:hint="eastAsia"/>
          <w:sz w:val="32"/>
          <w:szCs w:val="32"/>
        </w:rPr>
        <w:lastRenderedPageBreak/>
        <w:t>督察组交办案件定期督促检查，并对已办结案件开展“回头看”和后督查，防止问题“回潮”和“反弹”。认真开展重点环境问题的排查，将重点环境整治工作落实到县有关单位，制定重点环境问题整治方案、明确分工、时间进度安排和整治工作要求，督促责任单位抓好整治工作落实，确保整治任务完成，以整治推动问题的有效解决。</w:t>
      </w:r>
    </w:p>
    <w:p w:rsidR="00F72AD3" w:rsidRPr="00217A81" w:rsidRDefault="00F72AD3" w:rsidP="00217A81">
      <w:pPr>
        <w:ind w:firstLineChars="200" w:firstLine="643"/>
        <w:rPr>
          <w:rFonts w:ascii="仿宋" w:eastAsia="仿宋" w:hAnsi="仿宋"/>
          <w:b/>
          <w:sz w:val="32"/>
          <w:szCs w:val="32"/>
        </w:rPr>
      </w:pPr>
      <w:r w:rsidRPr="00217A81">
        <w:rPr>
          <w:rFonts w:ascii="仿宋" w:eastAsia="仿宋" w:hAnsi="仿宋" w:hint="eastAsia"/>
          <w:b/>
          <w:sz w:val="32"/>
          <w:szCs w:val="32"/>
        </w:rPr>
        <w:t>（七）全面深化改革加快推进，体制新优势逐步形成</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重点领域和关键环节改革成效明显。</w:t>
      </w:r>
      <w:r w:rsidRPr="004E7090">
        <w:rPr>
          <w:rFonts w:ascii="仿宋" w:eastAsia="仿宋" w:hAnsi="仿宋" w:hint="eastAsia"/>
          <w:sz w:val="32"/>
          <w:szCs w:val="32"/>
        </w:rPr>
        <w:t>深化行政审批制度改革，更新、取消、调整一批行政许可事项，同时清理规范行政审批中介服务事项2批46项；按“能放尽放”原则，合并精简和向基层下放事项，审批服务流程原则上统一整合为“受理、审查、决定”3个环节，条件成熟的部门探索推行“一审一核”两环节制。对检验、检测等尚未纳入时限计算的特殊环节进行梳理优化，建立目录管理，明确办事流程；实行“一口受理、同步审批、限时办结、信息共享”并联审查审批制度。全面推行“一门式一网式”政务服务改革，对进驻县公共服务中心的29个单位的66个窗口进行优化调整，设立了不动产登记等5个小一门和10个一门式综合服务窗口；推进政务服务向镇村延伸，实现全部镇（场）村（社区）公共服务平台全覆盖。“五证合一、一照一码”登记制度改革深入推进，市场活力得到有效激发。深化财税制度改革，建立健全部门预算、综合预算等管理制度，强化财政支出绩</w:t>
      </w:r>
      <w:r w:rsidRPr="004E7090">
        <w:rPr>
          <w:rFonts w:ascii="仿宋" w:eastAsia="仿宋" w:hAnsi="仿宋" w:hint="eastAsia"/>
          <w:sz w:val="32"/>
          <w:szCs w:val="32"/>
        </w:rPr>
        <w:lastRenderedPageBreak/>
        <w:t>效自我评价和财政重点评价，对全县79个集中支付单位全部实行公务卡结算改革，推广PPP模式，“大埔县镇村污水处理厂及配套管网工程”和“大埔县旅游产业道路改扩建工程”两个项目进入省库。推进农村综合改革，有序开展农村土地承包经营权登记颁证工作。普惠金融“村村通”工程建设试点县有序推进，全面完成县征信中心建设，共收集更新农户信用信息68657户，评定信用户65146户；全面完成信用村创建，评定信用村236个，占行政村总数的96.33%；农村基层金融服务网络不断完善，对245个金融服务站按“六统一”标准进行充实完善，全县3家涉农银行金融机构共设立助农取款服务点425个、累计交易取款6714万元。全面完成国有企业改革转制和简政强镇机构改革，事业单位分类改革基本完成。</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干部人事制度改革有序推进。</w:t>
      </w:r>
      <w:r w:rsidRPr="004E7090">
        <w:rPr>
          <w:rFonts w:ascii="仿宋" w:eastAsia="仿宋" w:hAnsi="仿宋" w:hint="eastAsia"/>
          <w:sz w:val="32"/>
          <w:szCs w:val="32"/>
        </w:rPr>
        <w:t>大力推进干部人事制度改革，全面落实工作责任制和领导干部问责制，强化督查，严格考核。完善政绩考核评价机制。深入开展民主评议政风行风活动，坚决纠正损害群众利益的不正之风。</w:t>
      </w:r>
      <w:bookmarkStart w:id="11" w:name="_GoBack"/>
      <w:bookmarkEnd w:id="11"/>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社会管理体制进一步健全。</w:t>
      </w:r>
      <w:r w:rsidRPr="004E7090">
        <w:rPr>
          <w:rFonts w:ascii="仿宋" w:eastAsia="仿宋" w:hAnsi="仿宋" w:hint="eastAsia"/>
          <w:sz w:val="32"/>
          <w:szCs w:val="32"/>
        </w:rPr>
        <w:t>深入贯彻《广东省信访条例》，落实信访维稳工作责任，推进“诉访分离”衔接机制，建立全县“统一协调、整体联动”的工作机制，进一步推进人民调解、行政调解与司法调解有机衔接的大调解联动机制建设。开展“创建无邪教示范镇、村工程”活动， 分别有1 个镇、</w:t>
      </w:r>
      <w:r w:rsidRPr="004E7090">
        <w:rPr>
          <w:rFonts w:ascii="仿宋" w:eastAsia="仿宋" w:hAnsi="仿宋" w:hint="eastAsia"/>
          <w:sz w:val="32"/>
          <w:szCs w:val="32"/>
        </w:rPr>
        <w:lastRenderedPageBreak/>
        <w:t>3个村、2个村获评“全国先进镇”、“全国先进村”和“全省先进村”。综治“中心+网格化+信息化”建设有序推进，投入160多万元改造升级县镇村三级综治中心，推进综治信息化系统推广应用，对全县15个镇（场）256个村（</w:t>
      </w:r>
      <w:r w:rsidR="00724BED" w:rsidRPr="004E7090">
        <w:rPr>
          <w:rFonts w:ascii="仿宋" w:eastAsia="仿宋" w:hAnsi="仿宋" w:hint="eastAsia"/>
          <w:sz w:val="32"/>
          <w:szCs w:val="32"/>
        </w:rPr>
        <w:t>社区</w:t>
      </w:r>
      <w:r w:rsidRPr="004E7090">
        <w:rPr>
          <w:rFonts w:ascii="仿宋" w:eastAsia="仿宋" w:hAnsi="仿宋" w:hint="eastAsia"/>
          <w:sz w:val="32"/>
          <w:szCs w:val="32"/>
        </w:rPr>
        <w:t>）进行网格化划分。</w:t>
      </w:r>
    </w:p>
    <w:p w:rsidR="00F72AD3" w:rsidRPr="00217A81" w:rsidRDefault="00F72AD3" w:rsidP="00217A81">
      <w:pPr>
        <w:ind w:firstLineChars="200" w:firstLine="643"/>
        <w:rPr>
          <w:rFonts w:ascii="仿宋" w:eastAsia="仿宋" w:hAnsi="仿宋"/>
          <w:b/>
          <w:sz w:val="32"/>
          <w:szCs w:val="32"/>
        </w:rPr>
      </w:pPr>
      <w:r w:rsidRPr="00217A81">
        <w:rPr>
          <w:rFonts w:ascii="仿宋" w:eastAsia="仿宋" w:hAnsi="仿宋" w:hint="eastAsia"/>
          <w:b/>
          <w:sz w:val="32"/>
          <w:szCs w:val="32"/>
        </w:rPr>
        <w:t>（八）法治建设稳步推进，服务型法治政府建设成效明显</w:t>
      </w:r>
    </w:p>
    <w:p w:rsidR="00F72AD3" w:rsidRPr="004E7090" w:rsidRDefault="00F72AD3" w:rsidP="004E7090">
      <w:pPr>
        <w:ind w:firstLineChars="200" w:firstLine="640"/>
        <w:rPr>
          <w:rFonts w:ascii="仿宋" w:eastAsia="仿宋" w:hAnsi="仿宋"/>
          <w:sz w:val="32"/>
          <w:szCs w:val="32"/>
        </w:rPr>
      </w:pPr>
      <w:r w:rsidRPr="004E7090">
        <w:rPr>
          <w:rFonts w:ascii="仿宋" w:eastAsia="仿宋" w:hAnsi="仿宋" w:hint="eastAsia"/>
          <w:sz w:val="32"/>
          <w:szCs w:val="32"/>
        </w:rPr>
        <w:t>扎实推进权责清单制度，完成45个单位（部门）和镇级政府共6657项权责清单编制。行政决策机制不断健全，聘任一位律师和一位法律专家担任政府法律顾问，严格落实《广东省重大行政决策听证规定》和《梅州市重大行政决策程序规定（试行）》及其配套制度，在调整大埔城区（含建制镇）污水处理费收费标准、大潮高速公路建设等事项决策过程中，按照重大行政决策程序稳步开展。健全行政执法责任制、评议考核制和责任追究制，严格落实《广东省行政执法责任制条例》，加强行政执法证件及资格管理，行政复议与行政诉讼管理平台、行政执法投诉平台建设加快推进，加强行政执法与刑事司法衔接，及时将行政执法中发现的犯罪线索移送司法机关。对权力的监督制约不断强化，自觉接受人大和政协监督，2016-2017年县本级对57件人大代表建议和75件政协委员提案进行了答复，答复率、满意率（含基本满意）均达100%；自觉接受司法机关的监督，坚决执行司</w:t>
      </w:r>
      <w:r w:rsidRPr="004E7090">
        <w:rPr>
          <w:rFonts w:ascii="仿宋" w:eastAsia="仿宋" w:hAnsi="仿宋" w:hint="eastAsia"/>
          <w:sz w:val="32"/>
          <w:szCs w:val="32"/>
        </w:rPr>
        <w:lastRenderedPageBreak/>
        <w:t>法机关的生效裁决，积极贯彻《行政诉讼法》，严格按照《梅州市行政机关负责人出庭应诉工作规定》和《大埔县行政案件出庭应诉规定（试行）》做好行政机关负责人出庭应诉工作；加强行政执法监督，通过执法检查、行政处罚备案、行政复议审查监督，及时纠正违法、违规案件。两年来，对各执法部门上报备案审查的300宗重大行政处罚案件进行了审查。政务公开全面推进，完善政府信息公开工作机制及相关配套制度，在公开财政预决算、“三公”经费预决算、保障性住房等信息基础上，进一步加强政府网站建设，公布政府信息公开指南和政府信息公开目录，并及时更新。坚持反腐倡廉，加强全面从严治党，持之以恒落实中央八项规定，深化学习和贯彻落实《准则》和《条例》有关规定，深入开展党风廉政教育，推进“两学一做”学习教育常态化制度化，用好监督执纪“四种形态”，加强党员领导干部“八小时以外”活动监督管理，引导干部严守政治纪律和政治规矩，干部作风持续改进。2016年全县共开展谈话提醒1126人次，共受理群众信访举报296件，立案81件，给予党政纪处分82人，移送司法机关1人；2017年立案87件（含科级干部7件），给予党纪政纪处分85人。</w:t>
      </w:r>
    </w:p>
    <w:p w:rsidR="00FD43B6" w:rsidRPr="004E7090" w:rsidRDefault="00FD43B6" w:rsidP="004E7090">
      <w:pPr>
        <w:ind w:firstLineChars="200" w:firstLine="640"/>
        <w:rPr>
          <w:rFonts w:ascii="黑体" w:eastAsia="黑体" w:hAnsi="黑体"/>
          <w:sz w:val="32"/>
          <w:szCs w:val="32"/>
        </w:rPr>
      </w:pPr>
      <w:r w:rsidRPr="004E7090">
        <w:rPr>
          <w:rFonts w:ascii="黑体" w:eastAsia="黑体" w:hAnsi="黑体" w:hint="eastAsia"/>
          <w:sz w:val="32"/>
          <w:szCs w:val="32"/>
        </w:rPr>
        <w:t>三、规划实施的主要问题与环境趋势</w:t>
      </w:r>
      <w:bookmarkEnd w:id="10"/>
    </w:p>
    <w:p w:rsidR="00FD43B6" w:rsidRPr="004E7090" w:rsidRDefault="00FD43B6" w:rsidP="004E7090">
      <w:pPr>
        <w:ind w:firstLineChars="200" w:firstLine="640"/>
        <w:rPr>
          <w:rFonts w:ascii="仿宋" w:eastAsia="仿宋" w:hAnsi="仿宋"/>
          <w:sz w:val="32"/>
          <w:szCs w:val="32"/>
        </w:rPr>
      </w:pPr>
      <w:bookmarkStart w:id="12" w:name="_Toc366509018"/>
      <w:r w:rsidRPr="004E7090">
        <w:rPr>
          <w:rFonts w:ascii="仿宋" w:eastAsia="仿宋" w:hAnsi="仿宋" w:hint="eastAsia"/>
          <w:sz w:val="32"/>
          <w:szCs w:val="32"/>
        </w:rPr>
        <w:t>“十三五”规划实施以来，我县经济社会发展取得了较大成效，但对照党的十九大报告提出的要求以及省市的要求，</w:t>
      </w:r>
      <w:r w:rsidRPr="004E7090">
        <w:rPr>
          <w:rFonts w:ascii="仿宋" w:eastAsia="仿宋" w:hAnsi="仿宋" w:hint="eastAsia"/>
          <w:sz w:val="32"/>
          <w:szCs w:val="32"/>
        </w:rPr>
        <w:lastRenderedPageBreak/>
        <w:t>我县经济社会发展中仍然存在许多不平衡不充分的矛盾和问题。国内外发展环境的一些新变化，也对“十三五”中后期规划实施形成严峻挑战。</w:t>
      </w:r>
    </w:p>
    <w:bookmarkEnd w:id="12"/>
    <w:p w:rsidR="00F72AD3" w:rsidRPr="00217A81" w:rsidRDefault="00F72AD3" w:rsidP="00217A81">
      <w:pPr>
        <w:ind w:firstLineChars="200" w:firstLine="643"/>
        <w:rPr>
          <w:rFonts w:ascii="仿宋" w:eastAsia="仿宋" w:hAnsi="仿宋"/>
          <w:b/>
          <w:sz w:val="32"/>
          <w:szCs w:val="32"/>
        </w:rPr>
      </w:pPr>
      <w:r w:rsidRPr="00217A81">
        <w:rPr>
          <w:rFonts w:ascii="仿宋" w:eastAsia="仿宋" w:hAnsi="仿宋" w:hint="eastAsia"/>
          <w:b/>
          <w:sz w:val="32"/>
          <w:szCs w:val="32"/>
        </w:rPr>
        <w:t>（一）规划实施存在的主要问题</w:t>
      </w:r>
    </w:p>
    <w:p w:rsidR="00F72AD3" w:rsidRPr="00217A81" w:rsidRDefault="00F72AD3" w:rsidP="00217A81">
      <w:pPr>
        <w:ind w:firstLineChars="200" w:firstLine="643"/>
        <w:rPr>
          <w:rFonts w:ascii="仿宋" w:eastAsia="仿宋" w:hAnsi="仿宋"/>
          <w:b/>
          <w:sz w:val="32"/>
          <w:szCs w:val="32"/>
        </w:rPr>
      </w:pPr>
      <w:r w:rsidRPr="00217A81">
        <w:rPr>
          <w:rFonts w:ascii="仿宋" w:eastAsia="仿宋" w:hAnsi="仿宋" w:hint="eastAsia"/>
          <w:b/>
          <w:sz w:val="32"/>
          <w:szCs w:val="32"/>
        </w:rPr>
        <w:t>1.经济下行压力明显增大</w:t>
      </w:r>
    </w:p>
    <w:p w:rsidR="00F72AD3" w:rsidRPr="004E7090" w:rsidRDefault="00F72AD3" w:rsidP="004E7090">
      <w:pPr>
        <w:ind w:firstLineChars="200" w:firstLine="640"/>
        <w:rPr>
          <w:rFonts w:ascii="仿宋" w:eastAsia="仿宋" w:hAnsi="仿宋"/>
          <w:sz w:val="32"/>
          <w:szCs w:val="32"/>
        </w:rPr>
      </w:pPr>
      <w:r w:rsidRPr="004E7090">
        <w:rPr>
          <w:rFonts w:ascii="仿宋" w:eastAsia="仿宋" w:hAnsi="仿宋" w:hint="eastAsia"/>
          <w:sz w:val="32"/>
          <w:szCs w:val="32"/>
        </w:rPr>
        <w:t>全县经济保持平稳运行，但经济下行压力明显增大。</w:t>
      </w:r>
      <w:r w:rsidRPr="00217A81">
        <w:rPr>
          <w:rFonts w:ascii="仿宋" w:eastAsia="仿宋" w:hAnsi="仿宋" w:hint="eastAsia"/>
          <w:b/>
          <w:sz w:val="32"/>
          <w:szCs w:val="32"/>
        </w:rPr>
        <w:t>一是拉动经济增长要素乏力。</w:t>
      </w:r>
      <w:r w:rsidRPr="004E7090">
        <w:rPr>
          <w:rFonts w:ascii="仿宋" w:eastAsia="仿宋" w:hAnsi="仿宋" w:hint="eastAsia"/>
          <w:sz w:val="32"/>
          <w:szCs w:val="32"/>
        </w:rPr>
        <w:t>受国家化解债务风险等影响，固定资产投资的年度投资目标完成难度较大。新消费热点不多，导致消费增速放缓。“三驾马车”对经济拉动力均呈疲软态势。</w:t>
      </w:r>
      <w:r w:rsidRPr="00217A81">
        <w:rPr>
          <w:rFonts w:ascii="仿宋" w:eastAsia="仿宋" w:hAnsi="仿宋" w:hint="eastAsia"/>
          <w:b/>
          <w:sz w:val="32"/>
          <w:szCs w:val="32"/>
        </w:rPr>
        <w:t>二是工业持续增长后劲不足。</w:t>
      </w:r>
      <w:r w:rsidRPr="004E7090">
        <w:rPr>
          <w:rFonts w:ascii="仿宋" w:eastAsia="仿宋" w:hAnsi="仿宋" w:hint="eastAsia"/>
          <w:sz w:val="32"/>
          <w:szCs w:val="32"/>
        </w:rPr>
        <w:t>受市场及融资难影响，社会资本投资意愿下降，工业投资尤其是技改投资增速呈下降趋势，工业持续快速增长的基础不牢。</w:t>
      </w:r>
      <w:r w:rsidRPr="00217A81">
        <w:rPr>
          <w:rFonts w:ascii="仿宋" w:eastAsia="仿宋" w:hAnsi="仿宋" w:hint="eastAsia"/>
          <w:b/>
          <w:sz w:val="32"/>
          <w:szCs w:val="32"/>
        </w:rPr>
        <w:t>三是产业转移升级效果不明显，</w:t>
      </w:r>
      <w:r w:rsidRPr="004E7090">
        <w:rPr>
          <w:rFonts w:ascii="仿宋" w:eastAsia="仿宋" w:hAnsi="仿宋" w:hint="eastAsia"/>
          <w:sz w:val="32"/>
          <w:szCs w:val="32"/>
        </w:rPr>
        <w:t>科技创新的驱动力不强，高新技术产业和企业规模小、实力弱。</w:t>
      </w:r>
    </w:p>
    <w:p w:rsidR="00F72AD3" w:rsidRPr="00217A81" w:rsidRDefault="00F72AD3" w:rsidP="00217A81">
      <w:pPr>
        <w:ind w:firstLineChars="200" w:firstLine="643"/>
        <w:rPr>
          <w:rFonts w:ascii="仿宋" w:eastAsia="仿宋" w:hAnsi="仿宋"/>
          <w:b/>
          <w:sz w:val="32"/>
          <w:szCs w:val="32"/>
        </w:rPr>
      </w:pPr>
      <w:bookmarkStart w:id="13" w:name="_Toc361212142"/>
      <w:bookmarkStart w:id="14" w:name="_Toc361211829"/>
      <w:bookmarkStart w:id="15" w:name="_Toc361211775"/>
      <w:bookmarkStart w:id="16" w:name="_Toc361211707"/>
      <w:r w:rsidRPr="00217A81">
        <w:rPr>
          <w:rFonts w:ascii="仿宋" w:eastAsia="仿宋" w:hAnsi="仿宋" w:hint="eastAsia"/>
          <w:b/>
          <w:sz w:val="32"/>
          <w:szCs w:val="32"/>
        </w:rPr>
        <w:t>2.</w:t>
      </w:r>
      <w:bookmarkEnd w:id="13"/>
      <w:bookmarkEnd w:id="14"/>
      <w:bookmarkEnd w:id="15"/>
      <w:bookmarkEnd w:id="16"/>
      <w:r w:rsidRPr="00217A81">
        <w:rPr>
          <w:rFonts w:ascii="仿宋" w:eastAsia="仿宋" w:hAnsi="仿宋" w:hint="eastAsia"/>
          <w:b/>
          <w:sz w:val="32"/>
          <w:szCs w:val="32"/>
        </w:rPr>
        <w:t>基础设施建设进度总体滞后</w:t>
      </w:r>
    </w:p>
    <w:p w:rsidR="00F72AD3" w:rsidRPr="004E7090" w:rsidRDefault="00F72AD3" w:rsidP="004E7090">
      <w:pPr>
        <w:ind w:firstLineChars="200" w:firstLine="640"/>
        <w:rPr>
          <w:rFonts w:ascii="仿宋" w:eastAsia="仿宋" w:hAnsi="仿宋"/>
          <w:sz w:val="32"/>
          <w:szCs w:val="32"/>
        </w:rPr>
      </w:pPr>
      <w:r w:rsidRPr="004E7090">
        <w:rPr>
          <w:rFonts w:ascii="仿宋" w:eastAsia="仿宋" w:hAnsi="仿宋" w:hint="eastAsia"/>
          <w:sz w:val="32"/>
          <w:szCs w:val="32"/>
        </w:rPr>
        <w:t>受项目前期、资金投入等因素影响，基础设施建设进度滞后于预期。</w:t>
      </w:r>
      <w:r w:rsidRPr="00217A81">
        <w:rPr>
          <w:rFonts w:ascii="仿宋" w:eastAsia="仿宋" w:hAnsi="仿宋" w:hint="eastAsia"/>
          <w:b/>
          <w:sz w:val="32"/>
          <w:szCs w:val="32"/>
        </w:rPr>
        <w:t>一是项目前期工作难度大。</w:t>
      </w:r>
      <w:r w:rsidRPr="004E7090">
        <w:rPr>
          <w:rFonts w:ascii="仿宋" w:eastAsia="仿宋" w:hAnsi="仿宋" w:hint="eastAsia"/>
          <w:sz w:val="32"/>
          <w:szCs w:val="32"/>
        </w:rPr>
        <w:t>项目前期审批事项多，耗时长，难度大。目前，新建项目立项前期涉及用地预审、规划选址、社会稳定评估、节能评估、文物调查等10多项审批事项，协调难度大，如在用地预审中，把山地、林地和道路也划为农田，且政策不允许调整，在压矿地灾调查中，需进行地质钻探，耗费时间较长。</w:t>
      </w:r>
      <w:r w:rsidRPr="00217A81">
        <w:rPr>
          <w:rFonts w:ascii="仿宋" w:eastAsia="仿宋" w:hAnsi="仿宋" w:hint="eastAsia"/>
          <w:b/>
          <w:sz w:val="32"/>
          <w:szCs w:val="32"/>
        </w:rPr>
        <w:t>二是项目融资难度大。</w:t>
      </w:r>
      <w:r w:rsidRPr="004E7090">
        <w:rPr>
          <w:rFonts w:ascii="仿宋" w:eastAsia="仿宋" w:hAnsi="仿宋" w:hint="eastAsia"/>
          <w:sz w:val="32"/>
          <w:szCs w:val="32"/>
        </w:rPr>
        <w:lastRenderedPageBreak/>
        <w:t>近年来，省交通建设重点放在高铁、高速公路和国省道方面，对农村公路的资金投入力度不足。县乡公路建设切块资金不足，补助标准低，我县财力不足，融资难度较大。目前，我县内部交通网络基础仍显落后，全县公路网整体技术水平不高，产业园区综合配套差，承载力弱，园区与县城、中心镇的快速交通体系尚未建立。此外，水利、信息、绿色电网等现代化基础设施体系不健全、不完善，对发展的支撑保障不足。</w:t>
      </w:r>
    </w:p>
    <w:p w:rsidR="00F72AD3" w:rsidRPr="00217A81" w:rsidRDefault="00F72AD3" w:rsidP="00217A81">
      <w:pPr>
        <w:ind w:firstLineChars="200" w:firstLine="643"/>
        <w:rPr>
          <w:rFonts w:ascii="仿宋" w:eastAsia="仿宋" w:hAnsi="仿宋"/>
          <w:b/>
          <w:sz w:val="32"/>
          <w:szCs w:val="32"/>
        </w:rPr>
      </w:pPr>
      <w:r w:rsidRPr="00217A81">
        <w:rPr>
          <w:rFonts w:ascii="仿宋" w:eastAsia="仿宋" w:hAnsi="仿宋" w:hint="eastAsia"/>
          <w:b/>
          <w:sz w:val="32"/>
          <w:szCs w:val="32"/>
        </w:rPr>
        <w:t>3.文化产业发展相对滞后</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一是文化事业发展不平衡。</w:t>
      </w:r>
      <w:r w:rsidRPr="004E7090">
        <w:rPr>
          <w:rFonts w:ascii="仿宋" w:eastAsia="仿宋" w:hAnsi="仿宋" w:hint="eastAsia"/>
          <w:sz w:val="32"/>
          <w:szCs w:val="32"/>
        </w:rPr>
        <w:t>人民群众不能很好地享受城乡统筹带来的公共文化服务。作为乡镇、行政村文化主阵地的文化站、文化室大多存在重创建轻管理的问题。公共文化场馆运营成本高，组织举办群众文化活动、打造品牌文化项目需要大量的资金支持。</w:t>
      </w:r>
      <w:r w:rsidRPr="00217A81">
        <w:rPr>
          <w:rFonts w:ascii="仿宋" w:eastAsia="仿宋" w:hAnsi="仿宋" w:hint="eastAsia"/>
          <w:b/>
          <w:sz w:val="32"/>
          <w:szCs w:val="32"/>
        </w:rPr>
        <w:t>二是全县现有文化产业普遍规模较小，</w:t>
      </w:r>
      <w:r w:rsidRPr="004E7090">
        <w:rPr>
          <w:rFonts w:ascii="仿宋" w:eastAsia="仿宋" w:hAnsi="仿宋" w:hint="eastAsia"/>
          <w:sz w:val="32"/>
          <w:szCs w:val="32"/>
        </w:rPr>
        <w:t>占全县经济总量比重偏低，经济效益还不明显，文化产值还远远跟不上市场发展要求。知名文化品牌、特色文化还存在着认识不清、挖掘不够、开发不足、优势不优、名牌不亮、品牌不响等突出问题。文化与旅游产业的融合还处在初级阶段，远远没有发挥应有的作用。无论是“走出去”的还是“请进来”的都太少。产业仍处于探索、起步、培育的初级阶段。</w:t>
      </w:r>
      <w:r w:rsidRPr="00217A81">
        <w:rPr>
          <w:rFonts w:ascii="仿宋" w:eastAsia="仿宋" w:hAnsi="仿宋" w:hint="eastAsia"/>
          <w:b/>
          <w:sz w:val="32"/>
          <w:szCs w:val="32"/>
        </w:rPr>
        <w:t>三是文物保护工作还未形成全社会共同意识；</w:t>
      </w:r>
      <w:r w:rsidRPr="004E7090">
        <w:rPr>
          <w:rFonts w:ascii="仿宋" w:eastAsia="仿宋" w:hAnsi="仿宋" w:hint="eastAsia"/>
          <w:sz w:val="32"/>
          <w:szCs w:val="32"/>
        </w:rPr>
        <w:t>各级文保单位及文物点受损情况普遍存在。</w:t>
      </w:r>
    </w:p>
    <w:p w:rsidR="00F72AD3" w:rsidRPr="00217A81" w:rsidRDefault="00F72AD3" w:rsidP="00217A81">
      <w:pPr>
        <w:ind w:firstLineChars="200" w:firstLine="643"/>
        <w:rPr>
          <w:rFonts w:ascii="仿宋" w:eastAsia="仿宋" w:hAnsi="仿宋"/>
          <w:b/>
          <w:sz w:val="32"/>
          <w:szCs w:val="32"/>
        </w:rPr>
      </w:pPr>
      <w:r w:rsidRPr="00217A81">
        <w:rPr>
          <w:rFonts w:ascii="仿宋" w:eastAsia="仿宋" w:hAnsi="仿宋" w:hint="eastAsia"/>
          <w:b/>
          <w:sz w:val="32"/>
          <w:szCs w:val="32"/>
        </w:rPr>
        <w:lastRenderedPageBreak/>
        <w:t>4.民生保障仍面临不少挑战</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教育事业方面:</w:t>
      </w:r>
      <w:r w:rsidRPr="004E7090">
        <w:rPr>
          <w:rFonts w:ascii="仿宋" w:eastAsia="仿宋" w:hAnsi="仿宋" w:hint="eastAsia"/>
          <w:sz w:val="32"/>
          <w:szCs w:val="32"/>
        </w:rPr>
        <w:t>一是城区学位依然紧缺；二是教师队伍编制结构、年龄结构、学科结构失衡问题仍然存在；三是教育现代化建设仍存在部分场馆设施不足等方面的问题和短板；四是教育信息化建设需进一步加强，大部分农村学校信息技术与学科整合程度还不够高，未充分发挥现代教学技术应有的作用。</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基本公共服务体系方面：</w:t>
      </w:r>
      <w:r w:rsidRPr="004E7090">
        <w:rPr>
          <w:rFonts w:ascii="仿宋" w:eastAsia="仿宋" w:hAnsi="仿宋" w:hint="eastAsia"/>
          <w:sz w:val="32"/>
          <w:szCs w:val="32"/>
        </w:rPr>
        <w:t>一是就业援助对象及资金落实难，大部分就业困难人员未到公共就业服务机构开展登记确认，难以掌握、实施就业资金扶持政策，不能及时准确地实施有针对性的就业帮扶援助行动。就业结构性矛盾依然没有得到彻底的破解，受经济基础和产业发展制约，全县适合高等院校毕业生等重点群体就业的岗位不足，就业培训的方式、质量仍有待完善提高。二是全县大部分未参保人员集中在中小微企业。经济增速放缓，原本生产经营就面临较大压力的中小微企业将面临更大的生存发展困难，也将对推进企业全员足额参保增加更大的难度。三是全县低端制造业、劳动密集型企业、建筑行业多，这些企业生产方式粗放、技术水平低、产品附加值不高，近年来绝大部分的劳资纠纷都发生在这类企业。</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医疗卫生方面：</w:t>
      </w:r>
      <w:r w:rsidRPr="004E7090">
        <w:rPr>
          <w:rFonts w:ascii="仿宋" w:eastAsia="仿宋" w:hAnsi="仿宋" w:hint="eastAsia"/>
          <w:sz w:val="32"/>
          <w:szCs w:val="32"/>
        </w:rPr>
        <w:t>一是卫生人才短缺，专业人员素质偏低。目前全县每千常住人口执业（助理）医师数1.</w:t>
      </w:r>
      <w:r w:rsidR="00497501" w:rsidRPr="004E7090">
        <w:rPr>
          <w:rFonts w:ascii="仿宋" w:eastAsia="仿宋" w:hAnsi="仿宋" w:hint="eastAsia"/>
          <w:sz w:val="32"/>
          <w:szCs w:val="32"/>
        </w:rPr>
        <w:t>25</w:t>
      </w:r>
      <w:r w:rsidRPr="004E7090">
        <w:rPr>
          <w:rFonts w:ascii="仿宋" w:eastAsia="仿宋" w:hAnsi="仿宋" w:hint="eastAsia"/>
          <w:sz w:val="32"/>
          <w:szCs w:val="32"/>
        </w:rPr>
        <w:t>，差1.</w:t>
      </w:r>
      <w:r w:rsidR="00497501" w:rsidRPr="004E7090">
        <w:rPr>
          <w:rFonts w:ascii="仿宋" w:eastAsia="仿宋" w:hAnsi="仿宋" w:hint="eastAsia"/>
          <w:sz w:val="32"/>
          <w:szCs w:val="32"/>
        </w:rPr>
        <w:t>55</w:t>
      </w:r>
      <w:r w:rsidRPr="004E7090">
        <w:rPr>
          <w:rFonts w:ascii="仿宋" w:eastAsia="仿宋" w:hAnsi="仿宋" w:hint="eastAsia"/>
          <w:sz w:val="32"/>
          <w:szCs w:val="32"/>
        </w:rPr>
        <w:t>，</w:t>
      </w:r>
      <w:r w:rsidRPr="004E7090">
        <w:rPr>
          <w:rFonts w:ascii="仿宋" w:eastAsia="仿宋" w:hAnsi="仿宋" w:hint="eastAsia"/>
          <w:sz w:val="32"/>
          <w:szCs w:val="32"/>
        </w:rPr>
        <w:lastRenderedPageBreak/>
        <w:t>缺5</w:t>
      </w:r>
      <w:r w:rsidR="00497501" w:rsidRPr="004E7090">
        <w:rPr>
          <w:rFonts w:ascii="仿宋" w:eastAsia="仿宋" w:hAnsi="仿宋" w:hint="eastAsia"/>
          <w:sz w:val="32"/>
          <w:szCs w:val="32"/>
        </w:rPr>
        <w:t>94</w:t>
      </w:r>
      <w:r w:rsidRPr="004E7090">
        <w:rPr>
          <w:rFonts w:ascii="仿宋" w:eastAsia="仿宋" w:hAnsi="仿宋" w:hint="eastAsia"/>
          <w:sz w:val="32"/>
          <w:szCs w:val="32"/>
        </w:rPr>
        <w:t>人；注册护士数1.</w:t>
      </w:r>
      <w:r w:rsidR="00497501" w:rsidRPr="004E7090">
        <w:rPr>
          <w:rFonts w:ascii="仿宋" w:eastAsia="仿宋" w:hAnsi="仿宋" w:hint="eastAsia"/>
          <w:sz w:val="32"/>
          <w:szCs w:val="32"/>
        </w:rPr>
        <w:t>5</w:t>
      </w:r>
      <w:r w:rsidRPr="004E7090">
        <w:rPr>
          <w:rFonts w:ascii="仿宋" w:eastAsia="仿宋" w:hAnsi="仿宋" w:hint="eastAsia"/>
          <w:sz w:val="32"/>
          <w:szCs w:val="32"/>
        </w:rPr>
        <w:t>，差2，缺</w:t>
      </w:r>
      <w:r w:rsidR="00497501" w:rsidRPr="004E7090">
        <w:rPr>
          <w:rFonts w:ascii="仿宋" w:eastAsia="仿宋" w:hAnsi="仿宋" w:hint="eastAsia"/>
          <w:sz w:val="32"/>
          <w:szCs w:val="32"/>
        </w:rPr>
        <w:t>766</w:t>
      </w:r>
      <w:r w:rsidRPr="004E7090">
        <w:rPr>
          <w:rFonts w:ascii="仿宋" w:eastAsia="仿宋" w:hAnsi="仿宋" w:hint="eastAsia"/>
          <w:sz w:val="32"/>
          <w:szCs w:val="32"/>
        </w:rPr>
        <w:t>人。二是乡村医生待遇低。目前全县现有空白村</w:t>
      </w:r>
      <w:r w:rsidR="00497501" w:rsidRPr="004E7090">
        <w:rPr>
          <w:rFonts w:ascii="仿宋" w:eastAsia="仿宋" w:hAnsi="仿宋" w:hint="eastAsia"/>
          <w:sz w:val="32"/>
          <w:szCs w:val="32"/>
        </w:rPr>
        <w:t>20</w:t>
      </w:r>
      <w:r w:rsidRPr="004E7090">
        <w:rPr>
          <w:rFonts w:ascii="仿宋" w:eastAsia="仿宋" w:hAnsi="仿宋" w:hint="eastAsia"/>
          <w:sz w:val="32"/>
          <w:szCs w:val="32"/>
        </w:rPr>
        <w:t>个，服务人口少，依靠业务收入和省财政补贴2万元难以维持生活。三是卫生建设项目进度有待进一步加快。</w:t>
      </w:r>
    </w:p>
    <w:p w:rsidR="00F72AD3" w:rsidRPr="00217A81" w:rsidRDefault="00F72AD3" w:rsidP="00217A81">
      <w:pPr>
        <w:ind w:firstLineChars="200" w:firstLine="643"/>
        <w:rPr>
          <w:rFonts w:ascii="仿宋" w:eastAsia="仿宋" w:hAnsi="仿宋"/>
          <w:b/>
          <w:sz w:val="32"/>
          <w:szCs w:val="32"/>
        </w:rPr>
      </w:pPr>
      <w:r w:rsidRPr="00217A81">
        <w:rPr>
          <w:rFonts w:ascii="仿宋" w:eastAsia="仿宋" w:hAnsi="仿宋" w:hint="eastAsia"/>
          <w:b/>
          <w:sz w:val="32"/>
          <w:szCs w:val="32"/>
        </w:rPr>
        <w:t>5.环境保护任务艰巨</w:t>
      </w:r>
    </w:p>
    <w:p w:rsidR="00F72AD3" w:rsidRPr="004E7090" w:rsidRDefault="00F72AD3" w:rsidP="004E7090">
      <w:pPr>
        <w:ind w:firstLineChars="200" w:firstLine="640"/>
        <w:rPr>
          <w:rFonts w:ascii="仿宋" w:eastAsia="仿宋" w:hAnsi="仿宋"/>
          <w:sz w:val="32"/>
          <w:szCs w:val="32"/>
        </w:rPr>
      </w:pPr>
      <w:r w:rsidRPr="004E7090">
        <w:rPr>
          <w:rFonts w:ascii="仿宋" w:eastAsia="仿宋" w:hAnsi="仿宋" w:hint="eastAsia"/>
          <w:sz w:val="32"/>
          <w:szCs w:val="32"/>
        </w:rPr>
        <w:t>近年来我县经济社会快速发展带来污染源的堆积和叠加，环境约束趋紧态势明显，环境质量与人民对美好生活的期盼存在较大差距。我县境内有韩江以及其上游三条主要支流以及十多条支流，大江大河多，且流经的市、县、镇、村较多，水线较长，污染面源复杂。根据全省水功能区规划，韩江我市与潮汕交界的断面和汀江三河舟角院断面都是Ⅱ类水质保护目标，但韩江上游的汀江河、梅潭河的福建与我县交界的断面都是Ⅲ类水质保护目标，要实现韩江、汀江水质保护目标压力非常大。加上长期以来对环境保护的投入不足，环保基础设施严重滞后，特别是镇村污水、垃圾处理设施建设仍处在起步阶段，环保短板突出、环保欠账较多。与此同时，人民群众对美好环境的愿望和追求越来越高，建设项目“邻避”问题敏感且日益增多，环保维稳形势严峻。</w:t>
      </w:r>
    </w:p>
    <w:p w:rsidR="00F72AD3" w:rsidRPr="00217A81" w:rsidRDefault="00F72AD3" w:rsidP="00217A81">
      <w:pPr>
        <w:ind w:firstLineChars="200" w:firstLine="643"/>
        <w:rPr>
          <w:rFonts w:ascii="仿宋" w:eastAsia="仿宋" w:hAnsi="仿宋"/>
          <w:b/>
          <w:sz w:val="32"/>
          <w:szCs w:val="32"/>
        </w:rPr>
      </w:pPr>
      <w:bookmarkStart w:id="17" w:name="_Toc361212146"/>
      <w:bookmarkStart w:id="18" w:name="_Toc361211833"/>
      <w:bookmarkStart w:id="19" w:name="_Toc361211779"/>
      <w:bookmarkStart w:id="20" w:name="_Toc361211711"/>
      <w:r w:rsidRPr="00217A81">
        <w:rPr>
          <w:rFonts w:ascii="仿宋" w:eastAsia="仿宋" w:hAnsi="仿宋" w:hint="eastAsia"/>
          <w:b/>
          <w:sz w:val="32"/>
          <w:szCs w:val="32"/>
        </w:rPr>
        <w:t>6.关键领域改革</w:t>
      </w:r>
      <w:bookmarkEnd w:id="17"/>
      <w:bookmarkEnd w:id="18"/>
      <w:bookmarkEnd w:id="19"/>
      <w:bookmarkEnd w:id="20"/>
      <w:r w:rsidRPr="00217A81">
        <w:rPr>
          <w:rFonts w:ascii="仿宋" w:eastAsia="仿宋" w:hAnsi="仿宋" w:hint="eastAsia"/>
          <w:b/>
          <w:sz w:val="32"/>
          <w:szCs w:val="32"/>
        </w:rPr>
        <w:t>推进力度仍显不够</w:t>
      </w:r>
    </w:p>
    <w:p w:rsidR="00F72AD3" w:rsidRPr="004E7090" w:rsidRDefault="00724BED" w:rsidP="004E7090">
      <w:pPr>
        <w:ind w:firstLineChars="200" w:firstLine="640"/>
        <w:rPr>
          <w:rFonts w:ascii="仿宋" w:eastAsia="仿宋" w:hAnsi="仿宋"/>
          <w:sz w:val="32"/>
          <w:szCs w:val="32"/>
        </w:rPr>
      </w:pPr>
      <w:r w:rsidRPr="004E7090">
        <w:rPr>
          <w:rFonts w:ascii="仿宋" w:eastAsia="仿宋" w:hAnsi="仿宋" w:hint="eastAsia"/>
          <w:sz w:val="32"/>
          <w:szCs w:val="32"/>
        </w:rPr>
        <w:t>按</w:t>
      </w:r>
      <w:r w:rsidR="00F72AD3" w:rsidRPr="004E7090">
        <w:rPr>
          <w:rFonts w:ascii="仿宋" w:eastAsia="仿宋" w:hAnsi="仿宋" w:hint="eastAsia"/>
          <w:sz w:val="32"/>
          <w:szCs w:val="32"/>
        </w:rPr>
        <w:t>中央和省委、市委对全面深化改革的部署要求，对照周边县区的改革推进情况，我县在全面深化改革中仍然存在着一些突出问题：</w:t>
      </w:r>
      <w:r w:rsidR="00F72AD3" w:rsidRPr="00217A81">
        <w:rPr>
          <w:rFonts w:ascii="仿宋" w:eastAsia="仿宋" w:hAnsi="仿宋" w:hint="eastAsia"/>
          <w:b/>
          <w:sz w:val="32"/>
          <w:szCs w:val="32"/>
        </w:rPr>
        <w:t>一是改革动力还不够足。</w:t>
      </w:r>
      <w:r w:rsidR="00F72AD3" w:rsidRPr="004E7090">
        <w:rPr>
          <w:rFonts w:ascii="仿宋" w:eastAsia="仿宋" w:hAnsi="仿宋" w:hint="eastAsia"/>
          <w:sz w:val="32"/>
          <w:szCs w:val="32"/>
        </w:rPr>
        <w:t>部分单位重视不</w:t>
      </w:r>
      <w:r w:rsidR="00F72AD3" w:rsidRPr="004E7090">
        <w:rPr>
          <w:rFonts w:ascii="仿宋" w:eastAsia="仿宋" w:hAnsi="仿宋" w:hint="eastAsia"/>
          <w:sz w:val="32"/>
          <w:szCs w:val="32"/>
        </w:rPr>
        <w:lastRenderedPageBreak/>
        <w:t>够、氛围不浓，改革的主动性、紧迫性不强，被动应付改革或从形式上落实改革，缺乏大胆探索、敢于创新的工作举措。</w:t>
      </w:r>
      <w:r w:rsidR="00F72AD3" w:rsidRPr="00217A81">
        <w:rPr>
          <w:rFonts w:ascii="仿宋" w:eastAsia="仿宋" w:hAnsi="仿宋" w:hint="eastAsia"/>
          <w:b/>
          <w:sz w:val="32"/>
          <w:szCs w:val="32"/>
        </w:rPr>
        <w:t>二是改革推进落实力度不够。</w:t>
      </w:r>
      <w:r w:rsidR="00F72AD3" w:rsidRPr="004E7090">
        <w:rPr>
          <w:rFonts w:ascii="仿宋" w:eastAsia="仿宋" w:hAnsi="仿宋" w:hint="eastAsia"/>
          <w:sz w:val="32"/>
          <w:szCs w:val="32"/>
        </w:rPr>
        <w:t>部分改革方案缺乏可操作性，实施细则和配套政策跟进不及时，导致难以落地执行。有的改革任务责任划分不够明确具体，牵头单位统筹协调不足，配合部门协作不到位，协同联动不够，导致改革推进不力。从总体上看，我县侧重于经济领域改革，政治、社会、文化领域的改革有所滞后，改革的实际效果与人民群众的获得感、与人民群众日益增长的美好生活需要之间还存在较大差距。如营商环境综合改革急待加强，群众和企业办事“来回跑”现象仍然普遍，制度性成本较高，离法治化、国际化、便利化水平还有很大差距。少数部门“衙门作风”仍较为严重，不能为企业和社会公众提供高效政务服务。</w:t>
      </w:r>
    </w:p>
    <w:p w:rsidR="00673B7B" w:rsidRPr="00217A81" w:rsidRDefault="008571E1" w:rsidP="00217A81">
      <w:pPr>
        <w:ind w:firstLineChars="200" w:firstLine="643"/>
        <w:rPr>
          <w:rFonts w:ascii="仿宋" w:eastAsia="仿宋" w:hAnsi="仿宋"/>
          <w:b/>
          <w:sz w:val="32"/>
          <w:szCs w:val="32"/>
        </w:rPr>
      </w:pPr>
      <w:r w:rsidRPr="00217A81">
        <w:rPr>
          <w:rFonts w:ascii="仿宋" w:eastAsia="仿宋" w:hAnsi="仿宋" w:hint="eastAsia"/>
          <w:b/>
          <w:sz w:val="32"/>
          <w:szCs w:val="32"/>
        </w:rPr>
        <w:t>（二）“十三五”中后期规划实施的环境趋势</w:t>
      </w:r>
    </w:p>
    <w:p w:rsidR="008571E1" w:rsidRPr="004E7090" w:rsidRDefault="008571E1" w:rsidP="004E7090">
      <w:pPr>
        <w:ind w:firstLineChars="200" w:firstLine="640"/>
        <w:rPr>
          <w:rFonts w:ascii="仿宋" w:eastAsia="仿宋" w:hAnsi="仿宋"/>
          <w:sz w:val="32"/>
          <w:szCs w:val="32"/>
        </w:rPr>
      </w:pPr>
      <w:r w:rsidRPr="004E7090">
        <w:rPr>
          <w:rFonts w:ascii="仿宋" w:eastAsia="仿宋" w:hAnsi="仿宋" w:hint="eastAsia"/>
          <w:sz w:val="32"/>
          <w:szCs w:val="32"/>
        </w:rPr>
        <w:t>展望“十三五”后期，国内外经济社会发生深刻变化。从国际形势看，世界经济增长总体稳中有进，</w:t>
      </w:r>
      <w:r w:rsidRPr="00217A81">
        <w:rPr>
          <w:rFonts w:ascii="仿宋" w:eastAsia="仿宋" w:hAnsi="仿宋" w:hint="eastAsia"/>
          <w:b/>
          <w:sz w:val="32"/>
          <w:szCs w:val="32"/>
        </w:rPr>
        <w:t>一方面，</w:t>
      </w:r>
      <w:r w:rsidRPr="004E7090">
        <w:rPr>
          <w:rFonts w:ascii="仿宋" w:eastAsia="仿宋" w:hAnsi="仿宋" w:hint="eastAsia"/>
          <w:sz w:val="32"/>
          <w:szCs w:val="32"/>
        </w:rPr>
        <w:t>全球新一轮科技革命和产业变革深入发展，新的经济模式层出不穷，新兴经济体发展新动能有所增强，主要新兴市场增长恢复，机遇纷呈。</w:t>
      </w:r>
      <w:r w:rsidRPr="00217A81">
        <w:rPr>
          <w:rFonts w:ascii="仿宋" w:eastAsia="仿宋" w:hAnsi="仿宋" w:hint="eastAsia"/>
          <w:b/>
          <w:sz w:val="32"/>
          <w:szCs w:val="32"/>
        </w:rPr>
        <w:t>另一方面</w:t>
      </w:r>
      <w:r w:rsidRPr="004E7090">
        <w:rPr>
          <w:rFonts w:ascii="仿宋" w:eastAsia="仿宋" w:hAnsi="仿宋" w:hint="eastAsia"/>
          <w:sz w:val="32"/>
          <w:szCs w:val="32"/>
        </w:rPr>
        <w:t>，世界经济起伏不定，地缘政治变幻莫测，发达国家推动“再工业化”重塑制造业优势，国际技术壁垒进一步提高，美国打响贸易战，种种不利因素和不确定因素交织叠加，对我国进一步扩大开放、建设制造业强</w:t>
      </w:r>
      <w:r w:rsidRPr="004E7090">
        <w:rPr>
          <w:rFonts w:ascii="仿宋" w:eastAsia="仿宋" w:hAnsi="仿宋" w:hint="eastAsia"/>
          <w:sz w:val="32"/>
          <w:szCs w:val="32"/>
        </w:rPr>
        <w:lastRenderedPageBreak/>
        <w:t>国，带来诸多新的挑战。从国内形势看，我国进入第一个百年目标冲剌、迎接新时代、主要矛盾转变的新时期，在供给侧结构性改革和宏观调控政策的共同作用下，我国经济运行平稳，质量提升、结构改善、动能优化、空间拓展等多重积极因素齐头并进，呈现宏观稳、中观进、微观好的新态势。党的十九大报告提出了贯彻新发展理念、建设现代化经济体系的战略要求；2018年中央一号文件提出实施乡村振兴战略；</w:t>
      </w:r>
      <w:r w:rsidR="00C20B95" w:rsidRPr="004E7090">
        <w:rPr>
          <w:rFonts w:ascii="仿宋" w:eastAsia="仿宋" w:hAnsi="仿宋" w:hint="eastAsia"/>
          <w:sz w:val="32"/>
          <w:szCs w:val="32"/>
        </w:rPr>
        <w:t>“</w:t>
      </w:r>
      <w:r w:rsidRPr="004E7090">
        <w:rPr>
          <w:rFonts w:ascii="仿宋" w:eastAsia="仿宋" w:hAnsi="仿宋" w:hint="eastAsia"/>
          <w:sz w:val="32"/>
          <w:szCs w:val="32"/>
        </w:rPr>
        <w:t>一带一路”深入实施，创新创业热潮持续高涨，成为推动我国实体经济转型升级、培育新动能的重要力量。</w:t>
      </w:r>
    </w:p>
    <w:p w:rsidR="008571E1" w:rsidRPr="004E7090" w:rsidRDefault="008571E1" w:rsidP="00217A81">
      <w:pPr>
        <w:ind w:firstLineChars="200" w:firstLine="643"/>
        <w:rPr>
          <w:rFonts w:ascii="仿宋" w:eastAsia="仿宋" w:hAnsi="仿宋"/>
          <w:sz w:val="32"/>
          <w:szCs w:val="32"/>
        </w:rPr>
      </w:pPr>
      <w:r w:rsidRPr="00217A81">
        <w:rPr>
          <w:rFonts w:ascii="仿宋" w:eastAsia="仿宋" w:hAnsi="仿宋" w:hint="eastAsia"/>
          <w:b/>
          <w:sz w:val="32"/>
          <w:szCs w:val="32"/>
        </w:rPr>
        <w:t>从全省形势看，</w:t>
      </w:r>
      <w:r w:rsidRPr="004E7090">
        <w:rPr>
          <w:rFonts w:ascii="仿宋" w:eastAsia="仿宋" w:hAnsi="仿宋" w:hint="eastAsia"/>
          <w:sz w:val="32"/>
          <w:szCs w:val="32"/>
        </w:rPr>
        <w:t>省委十二届四次全会系统谋划和部署了当前和今后一个时期广东重点工作，描绘了广东未来发展蓝图，对广东实现“四个走在全国前列”、当好“两个重要窗口”具有十分重大的现实意义和深远的历史意义；省政府积极落实《粤港澳大湾区发展规划纲要》，促进人流、物流、资金流、信息流便捷有序流动，高水平推进广东自贸区建设，形成一系列改革创新经验，深度参与“一带一路”建设，开通中欧、中亚班列；我省在完成高速公路大建设后，进入高铁粤东西北全面贯通时代，粤东西北与珠三角经济社会进一步深度融合。与此同时，我省经济发展不平衡不充分问题仍然比较突出，珠三角经济总量占全省比重居高不下，而且区域资源环境压力也越来越大，出现了日益严重的环境污染、绿色生态空间、生态系统功能退化、交通拥挤等问题；粤东</w:t>
      </w:r>
      <w:r w:rsidRPr="004E7090">
        <w:rPr>
          <w:rFonts w:ascii="仿宋" w:eastAsia="仿宋" w:hAnsi="仿宋" w:hint="eastAsia"/>
          <w:sz w:val="32"/>
          <w:szCs w:val="32"/>
        </w:rPr>
        <w:lastRenderedPageBreak/>
        <w:t>西北经济总量较小，经济下行压力较大；大埔县作为生态功能区，资源环境刚性约束较大，保护与发展双重压力叠加。</w:t>
      </w:r>
    </w:p>
    <w:p w:rsidR="008571E1" w:rsidRPr="004E7090" w:rsidRDefault="008571E1" w:rsidP="00217A81">
      <w:pPr>
        <w:ind w:firstLineChars="200" w:firstLine="643"/>
        <w:rPr>
          <w:rFonts w:ascii="仿宋" w:eastAsia="仿宋" w:hAnsi="仿宋"/>
          <w:sz w:val="32"/>
          <w:szCs w:val="32"/>
        </w:rPr>
      </w:pPr>
      <w:r w:rsidRPr="00217A81">
        <w:rPr>
          <w:rFonts w:ascii="仿宋" w:eastAsia="仿宋" w:hAnsi="仿宋" w:hint="eastAsia"/>
          <w:b/>
          <w:sz w:val="32"/>
          <w:szCs w:val="32"/>
        </w:rPr>
        <w:t>从全市形势来看，</w:t>
      </w:r>
      <w:r w:rsidRPr="004E7090">
        <w:rPr>
          <w:rFonts w:ascii="仿宋" w:eastAsia="仿宋" w:hAnsi="仿宋" w:hint="eastAsia"/>
          <w:sz w:val="32"/>
          <w:szCs w:val="32"/>
        </w:rPr>
        <w:t>市委市政府立足省生态发展区的功能定位，审时度势提出推动生态富民强市战略，坚定不移走绿色、低碳、环保的新型工业化道路；随着国家原中央苏区振兴发展、省促进粤东西北地区振兴发展、广州全面对口帮扶等政策扶持效应叠加，乡村振兴战略加快实施，轨道交通、高速公路等对外快速交通、广东梅兴华丰产业集聚带、梅江韩江绿色健康文化旅游产业带和一批重大项目的建设，梅州的产业承载力将不断增强。</w:t>
      </w:r>
    </w:p>
    <w:p w:rsidR="008571E1" w:rsidRPr="004E7090" w:rsidRDefault="008571E1" w:rsidP="00217A81">
      <w:pPr>
        <w:ind w:firstLineChars="200" w:firstLine="643"/>
        <w:rPr>
          <w:rFonts w:ascii="仿宋" w:eastAsia="仿宋" w:hAnsi="仿宋"/>
          <w:sz w:val="32"/>
          <w:szCs w:val="32"/>
        </w:rPr>
      </w:pPr>
      <w:r w:rsidRPr="00217A81">
        <w:rPr>
          <w:rFonts w:ascii="仿宋" w:eastAsia="仿宋" w:hAnsi="仿宋" w:hint="eastAsia"/>
          <w:b/>
          <w:sz w:val="32"/>
          <w:szCs w:val="32"/>
        </w:rPr>
        <w:t>从全县形势来看，</w:t>
      </w:r>
      <w:r w:rsidRPr="004E7090">
        <w:rPr>
          <w:rFonts w:ascii="仿宋" w:eastAsia="仿宋" w:hAnsi="仿宋" w:hint="eastAsia"/>
          <w:sz w:val="32"/>
          <w:szCs w:val="32"/>
        </w:rPr>
        <w:t>呈现经济增长放缓、投资拉动放缓、工业增速放缓、财政金融稳步发展、消费出口平稳增长、民生实事和社会事业顺利推进的特点，同时在工业持续发展、重点项目投资、财税收入存在“后劲不足”，新的经济增长点培育成效不明显，经济运行低于预期目标。同时省委十二届四次全会提出构建“一核一带一区”区域发展格局、在全省全面实施以功能区为引领的区域发展新战略，为地处北部生态发展区的大埔县明晰了发展方向、发展思路，带来了发展的新机遇和新挑战。</w:t>
      </w:r>
    </w:p>
    <w:p w:rsidR="008571E1" w:rsidRPr="004E7090" w:rsidRDefault="008571E1" w:rsidP="004E7090">
      <w:pPr>
        <w:ind w:firstLineChars="200" w:firstLine="640"/>
        <w:rPr>
          <w:rFonts w:ascii="仿宋" w:eastAsia="仿宋" w:hAnsi="仿宋"/>
          <w:sz w:val="32"/>
          <w:szCs w:val="32"/>
        </w:rPr>
      </w:pPr>
      <w:r w:rsidRPr="004E7090">
        <w:rPr>
          <w:rFonts w:ascii="仿宋" w:eastAsia="仿宋" w:hAnsi="仿宋" w:hint="eastAsia"/>
          <w:sz w:val="32"/>
          <w:szCs w:val="32"/>
        </w:rPr>
        <w:t>总的来看，我县发展机遇大于挑战，全县上下要坚定信心，抢抓机遇，乘势而上，奋发有为，不断开拓发展新领域和新空间；要立足国家重点生态功能区的定位，坚持生态优</w:t>
      </w:r>
      <w:r w:rsidRPr="004E7090">
        <w:rPr>
          <w:rFonts w:ascii="仿宋" w:eastAsia="仿宋" w:hAnsi="仿宋" w:hint="eastAsia"/>
          <w:sz w:val="32"/>
          <w:szCs w:val="32"/>
        </w:rPr>
        <w:lastRenderedPageBreak/>
        <w:t>先、人文引领、绿色发展，努力将生态优势转化为经济优势，实现美丽与发展共嬴。</w:t>
      </w:r>
    </w:p>
    <w:p w:rsidR="00673B7B" w:rsidRPr="00217A81" w:rsidRDefault="008571E1" w:rsidP="004E7090">
      <w:pPr>
        <w:ind w:firstLineChars="200" w:firstLine="640"/>
        <w:rPr>
          <w:rFonts w:ascii="黑体" w:eastAsia="黑体" w:hAnsi="黑体"/>
          <w:sz w:val="32"/>
          <w:szCs w:val="32"/>
        </w:rPr>
      </w:pPr>
      <w:r w:rsidRPr="00217A81">
        <w:rPr>
          <w:rFonts w:ascii="黑体" w:eastAsia="黑体" w:hAnsi="黑体" w:hint="eastAsia"/>
          <w:sz w:val="32"/>
          <w:szCs w:val="32"/>
        </w:rPr>
        <w:t>四、进一步推动规划实施的对策建议</w:t>
      </w:r>
    </w:p>
    <w:p w:rsidR="00F72AD3" w:rsidRPr="00217A81" w:rsidRDefault="00F72AD3" w:rsidP="00217A81">
      <w:pPr>
        <w:ind w:firstLineChars="200" w:firstLine="643"/>
        <w:rPr>
          <w:rFonts w:ascii="仿宋" w:eastAsia="仿宋" w:hAnsi="仿宋"/>
          <w:b/>
          <w:sz w:val="32"/>
          <w:szCs w:val="32"/>
        </w:rPr>
      </w:pPr>
      <w:r w:rsidRPr="00217A81">
        <w:rPr>
          <w:rFonts w:ascii="仿宋" w:eastAsia="仿宋" w:hAnsi="仿宋" w:hint="eastAsia"/>
          <w:b/>
          <w:sz w:val="32"/>
          <w:szCs w:val="32"/>
        </w:rPr>
        <w:t>（一）深入贯彻新发展理念，推进经济持续健康发展</w:t>
      </w:r>
    </w:p>
    <w:p w:rsidR="00F72AD3" w:rsidRPr="004E7090" w:rsidRDefault="00F72AD3" w:rsidP="004E7090">
      <w:pPr>
        <w:ind w:firstLineChars="200" w:firstLine="640"/>
        <w:rPr>
          <w:rFonts w:ascii="仿宋" w:eastAsia="仿宋" w:hAnsi="仿宋"/>
          <w:sz w:val="32"/>
          <w:szCs w:val="32"/>
        </w:rPr>
      </w:pPr>
      <w:r w:rsidRPr="004E7090">
        <w:rPr>
          <w:rFonts w:ascii="仿宋" w:eastAsia="仿宋" w:hAnsi="仿宋" w:hint="eastAsia"/>
          <w:sz w:val="32"/>
          <w:szCs w:val="32"/>
        </w:rPr>
        <w:t>围绕转变经济发展方式和转型升级，以韩江（大埔）客家文化旅游特色带、广州海珠（大埔）产业集聚区和三河电力能源工业园区“一带两区”建设为重要载体，切实提高产业竞争力，切实推进经济持续健康发展。</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突出创新驱动，加快产业结构优化升级。一是引导企业发挥创新主体作用。</w:t>
      </w:r>
      <w:r w:rsidRPr="004E7090">
        <w:rPr>
          <w:rFonts w:ascii="仿宋" w:eastAsia="仿宋" w:hAnsi="仿宋" w:hint="eastAsia"/>
          <w:sz w:val="32"/>
          <w:szCs w:val="32"/>
        </w:rPr>
        <w:t>实施“百家科技型中小企业培育工程”，落实《广东省高新技术企业树标提质行动计划（2017—2020年）》和相关奖补政策，支持企业申报国家级和省级高新技术企业。</w:t>
      </w:r>
      <w:r w:rsidRPr="00217A81">
        <w:rPr>
          <w:rFonts w:ascii="仿宋" w:eastAsia="仿宋" w:hAnsi="仿宋" w:hint="eastAsia"/>
          <w:b/>
          <w:sz w:val="32"/>
          <w:szCs w:val="32"/>
        </w:rPr>
        <w:t>二是加快推进创新平台建设。</w:t>
      </w:r>
      <w:r w:rsidRPr="004E7090">
        <w:rPr>
          <w:rFonts w:ascii="仿宋" w:eastAsia="仿宋" w:hAnsi="仿宋" w:hint="eastAsia"/>
          <w:sz w:val="32"/>
          <w:szCs w:val="32"/>
        </w:rPr>
        <w:t>加强对特色小镇、特色小城镇等创新平台规划建设的统筹协调，重点规划建设三河红色小城镇、高陂青花瓷小镇和百侯历史文化小城镇；主动对标省级高新区评价标准，继续完善园区基础设施建设，加快广州海珠（大埔）产业转移工业园的省级高新区认</w:t>
      </w:r>
      <w:r w:rsidR="00C20B95" w:rsidRPr="004E7090">
        <w:rPr>
          <w:rFonts w:ascii="仿宋" w:eastAsia="仿宋" w:hAnsi="仿宋" w:hint="eastAsia"/>
          <w:sz w:val="32"/>
          <w:szCs w:val="32"/>
        </w:rPr>
        <w:t>定</w:t>
      </w:r>
      <w:r w:rsidRPr="004E7090">
        <w:rPr>
          <w:rFonts w:ascii="仿宋" w:eastAsia="仿宋" w:hAnsi="仿宋" w:hint="eastAsia"/>
          <w:sz w:val="32"/>
          <w:szCs w:val="32"/>
        </w:rPr>
        <w:t>。</w:t>
      </w:r>
      <w:r w:rsidRPr="00217A81">
        <w:rPr>
          <w:rFonts w:ascii="仿宋" w:eastAsia="仿宋" w:hAnsi="仿宋" w:hint="eastAsia"/>
          <w:b/>
          <w:sz w:val="32"/>
          <w:szCs w:val="32"/>
        </w:rPr>
        <w:t>三是推进产学研深度融合。</w:t>
      </w:r>
      <w:r w:rsidRPr="004E7090">
        <w:rPr>
          <w:rFonts w:ascii="仿宋" w:eastAsia="仿宋" w:hAnsi="仿宋" w:hint="eastAsia"/>
          <w:sz w:val="32"/>
          <w:szCs w:val="32"/>
        </w:rPr>
        <w:t>落实省农科院、华南农业大学等战略合作，引导骨干企业建立研发平台和研发机构，全面对接落实“人才新政10条”，营造尊重人才、崇尚创新的浓厚氛围。</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优化发展环境，增强发展后劲。一是</w:t>
      </w:r>
      <w:r w:rsidRPr="004E7090">
        <w:rPr>
          <w:rFonts w:ascii="仿宋" w:eastAsia="仿宋" w:hAnsi="仿宋" w:hint="eastAsia"/>
          <w:sz w:val="32"/>
          <w:szCs w:val="32"/>
        </w:rPr>
        <w:t>依托高陂、县城等</w:t>
      </w:r>
      <w:r w:rsidRPr="004E7090">
        <w:rPr>
          <w:rFonts w:ascii="仿宋" w:eastAsia="仿宋" w:hAnsi="仿宋" w:hint="eastAsia"/>
          <w:sz w:val="32"/>
          <w:szCs w:val="32"/>
        </w:rPr>
        <w:lastRenderedPageBreak/>
        <w:t>现有园区，推进海珠大埔产业共建，加大招商引资力度，抓好生态富民强县产业集群引进，推动现有产业向产业链、价值链高端攀升，培育壮大新能源、新材料等新兴产业；抓好“个转企、小升规”，形成新的增长点。</w:t>
      </w:r>
      <w:r w:rsidRPr="00217A81">
        <w:rPr>
          <w:rFonts w:ascii="仿宋" w:eastAsia="仿宋" w:hAnsi="仿宋" w:hint="eastAsia"/>
          <w:b/>
          <w:sz w:val="32"/>
          <w:szCs w:val="32"/>
        </w:rPr>
        <w:t>二是</w:t>
      </w:r>
      <w:r w:rsidRPr="004E7090">
        <w:rPr>
          <w:rFonts w:ascii="仿宋" w:eastAsia="仿宋" w:hAnsi="仿宋" w:hint="eastAsia"/>
          <w:sz w:val="32"/>
          <w:szCs w:val="32"/>
        </w:rPr>
        <w:t>积极实施《梅州市工业企业技术改造三年行动计划实施方案（2018—2020年）》，落实贴息贷款、股权投资、事后奖补等扶持政策，推动全县制造业和优势传统产业实施新一轮技术改造。</w:t>
      </w:r>
      <w:r w:rsidRPr="00217A81">
        <w:rPr>
          <w:rFonts w:ascii="仿宋" w:eastAsia="仿宋" w:hAnsi="仿宋" w:hint="eastAsia"/>
          <w:b/>
          <w:sz w:val="32"/>
          <w:szCs w:val="32"/>
        </w:rPr>
        <w:t>三是</w:t>
      </w:r>
      <w:r w:rsidRPr="004E7090">
        <w:rPr>
          <w:rFonts w:ascii="仿宋" w:eastAsia="仿宋" w:hAnsi="仿宋" w:hint="eastAsia"/>
          <w:sz w:val="32"/>
          <w:szCs w:val="32"/>
        </w:rPr>
        <w:t>全面落实省“实体经济十条”和市“实体经济十二条”，大力发展绿色低碳新型工业，争取上级政策支持，继续开展暖企行动，推动陶瓷、电力等传统支柱产业产能正常达产，效益正常发挥，保障工业增加值依计划增长。</w:t>
      </w:r>
    </w:p>
    <w:p w:rsidR="00F72AD3" w:rsidRPr="00217A81" w:rsidRDefault="00F72AD3" w:rsidP="00217A81">
      <w:pPr>
        <w:ind w:firstLineChars="200" w:firstLine="643"/>
        <w:rPr>
          <w:rFonts w:ascii="仿宋" w:eastAsia="仿宋" w:hAnsi="仿宋"/>
          <w:b/>
          <w:sz w:val="32"/>
          <w:szCs w:val="32"/>
        </w:rPr>
      </w:pPr>
      <w:bookmarkStart w:id="21" w:name="_Toc361211716"/>
      <w:bookmarkStart w:id="22" w:name="_Toc361211784"/>
      <w:bookmarkStart w:id="23" w:name="_Toc361211838"/>
      <w:bookmarkStart w:id="24" w:name="_Toc361212151"/>
      <w:bookmarkStart w:id="25" w:name="_Toc366509021"/>
      <w:r w:rsidRPr="00217A81">
        <w:rPr>
          <w:rFonts w:ascii="仿宋" w:eastAsia="仿宋" w:hAnsi="仿宋" w:hint="eastAsia"/>
          <w:b/>
          <w:sz w:val="32"/>
          <w:szCs w:val="32"/>
        </w:rPr>
        <w:t>（二）</w:t>
      </w:r>
      <w:bookmarkEnd w:id="21"/>
      <w:bookmarkEnd w:id="22"/>
      <w:bookmarkEnd w:id="23"/>
      <w:bookmarkEnd w:id="24"/>
      <w:bookmarkEnd w:id="25"/>
      <w:r w:rsidRPr="00217A81">
        <w:rPr>
          <w:rFonts w:ascii="仿宋" w:eastAsia="仿宋" w:hAnsi="仿宋" w:hint="eastAsia"/>
          <w:b/>
          <w:sz w:val="32"/>
          <w:szCs w:val="32"/>
        </w:rPr>
        <w:t>高水平推进基础设施建设，夯实振兴发展基础</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做好项目前期工作，抓紧推进交通基础设施建设。</w:t>
      </w:r>
      <w:r w:rsidRPr="004E7090">
        <w:rPr>
          <w:rFonts w:ascii="仿宋" w:eastAsia="仿宋" w:hAnsi="仿宋" w:hint="eastAsia"/>
          <w:sz w:val="32"/>
          <w:szCs w:val="32"/>
        </w:rPr>
        <w:t>围绕“对外大连通、对内大循环”的总体思路，以高铁、高速和一级公路为重点，大胆谋划项目，争取大丰华高速公路（大埔至丰顺段）、平蕉大高速公路等项目尽快动工建设。加快推进湖寮至高陂、枫朗、茶阳等公路新建改建工程，全力构建以县城为中心的放射状现代交通路网。积极规划建设干线快速交通与省道、县道、乡道贯通的交通网络，对接环南岭旅游公路，推进旅游公路、景区公路和“四好农村路”建设，为全域旅游打下坚实基础。</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加强绿色能源基础设施建设。</w:t>
      </w:r>
      <w:r w:rsidRPr="004E7090">
        <w:rPr>
          <w:rFonts w:ascii="仿宋" w:eastAsia="仿宋" w:hAnsi="仿宋" w:hint="eastAsia"/>
          <w:sz w:val="32"/>
          <w:szCs w:val="32"/>
        </w:rPr>
        <w:t>加快推进高陂水利枢纽工</w:t>
      </w:r>
      <w:r w:rsidRPr="004E7090">
        <w:rPr>
          <w:rFonts w:ascii="仿宋" w:eastAsia="仿宋" w:hAnsi="仿宋" w:hint="eastAsia"/>
          <w:sz w:val="32"/>
          <w:szCs w:val="32"/>
        </w:rPr>
        <w:lastRenderedPageBreak/>
        <w:t>程电站和三河舟角院电站建设，协调推进桃源风电场、省电力开发有限公司光伏发电和韩江内河核电项目落地实施，并争取尽快取得突破性进展。加强电网主网架建设和城乡配电网建设改造，提高供电能力和供电可靠性。加快新能源开发利用，加大新能源项目引进布局力度，积极推动太阳能、风能、水能等新能源的开发与利用。</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加强水利基础设施建设。</w:t>
      </w:r>
      <w:r w:rsidRPr="004E7090">
        <w:rPr>
          <w:rFonts w:ascii="仿宋" w:eastAsia="仿宋" w:hAnsi="仿宋" w:hint="eastAsia"/>
          <w:sz w:val="32"/>
          <w:szCs w:val="32"/>
        </w:rPr>
        <w:t>深入推进山区中小河流治理项目建设、村村通自来水工程、镇村污水处理设施建设。加快推进高陂水利枢纽工程、大埔县革命老区及原中央苏区崩岗治理工程建设，规划建设韩江治理工程广东梅州段——大埔县高陂防洪堤治理工程。结合推进精准扶贫，推进山塘除险加固、小型灌区改造等水利设施建设。加快推进山丰水库工程。</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加快推进信息基础设施建设。</w:t>
      </w:r>
      <w:r w:rsidRPr="004E7090">
        <w:rPr>
          <w:rFonts w:ascii="仿宋" w:eastAsia="仿宋" w:hAnsi="仿宋" w:hint="eastAsia"/>
          <w:sz w:val="32"/>
          <w:szCs w:val="32"/>
        </w:rPr>
        <w:t>加快建设信息基础设施，全面推进城乡超高速无线局域网和光纤宽带建设及应用，全面提高城乡宽带覆盖范围</w:t>
      </w:r>
      <w:r w:rsidR="001D3CAF" w:rsidRPr="004E7090">
        <w:rPr>
          <w:rFonts w:ascii="仿宋" w:eastAsia="仿宋" w:hAnsi="仿宋" w:hint="eastAsia"/>
          <w:sz w:val="32"/>
          <w:szCs w:val="32"/>
        </w:rPr>
        <w:t>，试点推进5</w:t>
      </w:r>
      <w:r w:rsidR="0022376C" w:rsidRPr="004E7090">
        <w:rPr>
          <w:rFonts w:ascii="仿宋" w:eastAsia="仿宋" w:hAnsi="仿宋" w:hint="eastAsia"/>
          <w:sz w:val="32"/>
          <w:szCs w:val="32"/>
        </w:rPr>
        <w:t>G网络建设</w:t>
      </w:r>
      <w:r w:rsidRPr="004E7090">
        <w:rPr>
          <w:rFonts w:ascii="仿宋" w:eastAsia="仿宋" w:hAnsi="仿宋" w:hint="eastAsia"/>
          <w:sz w:val="32"/>
          <w:szCs w:val="32"/>
        </w:rPr>
        <w:t>。大力推进“三网融合”。加快推进城区、高速公路、国道、景区以及重点乡镇的4G网络建设，推动商务区域、旅游景点、公共场所免费WIFI覆盖。加强电子商务公共信息服务平台建设。</w:t>
      </w:r>
    </w:p>
    <w:p w:rsidR="00F72AD3" w:rsidRPr="00217A81" w:rsidRDefault="00F72AD3" w:rsidP="00217A81">
      <w:pPr>
        <w:ind w:firstLineChars="200" w:firstLine="643"/>
        <w:rPr>
          <w:rFonts w:ascii="仿宋" w:eastAsia="仿宋" w:hAnsi="仿宋"/>
          <w:b/>
          <w:sz w:val="32"/>
          <w:szCs w:val="32"/>
        </w:rPr>
      </w:pPr>
      <w:r w:rsidRPr="00217A81">
        <w:rPr>
          <w:rFonts w:ascii="仿宋" w:eastAsia="仿宋" w:hAnsi="仿宋" w:hint="eastAsia"/>
          <w:b/>
          <w:sz w:val="32"/>
          <w:szCs w:val="32"/>
        </w:rPr>
        <w:t>（三）全面实施乡村振兴战略，推进城乡融合发展</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继续加快县城扩容提质步伐。</w:t>
      </w:r>
      <w:r w:rsidRPr="004E7090">
        <w:rPr>
          <w:rFonts w:ascii="仿宋" w:eastAsia="仿宋" w:hAnsi="仿宋" w:hint="eastAsia"/>
          <w:sz w:val="32"/>
          <w:szCs w:val="32"/>
        </w:rPr>
        <w:t>优化全县发展空间布局，</w:t>
      </w:r>
      <w:r w:rsidRPr="004E7090">
        <w:rPr>
          <w:rFonts w:ascii="仿宋" w:eastAsia="仿宋" w:hAnsi="仿宋" w:hint="eastAsia"/>
          <w:sz w:val="32"/>
          <w:szCs w:val="32"/>
        </w:rPr>
        <w:lastRenderedPageBreak/>
        <w:t>做好《大埔县城市总体规划（2018-2035）》</w:t>
      </w:r>
      <w:r w:rsidR="005125A5" w:rsidRPr="004E7090">
        <w:rPr>
          <w:rFonts w:ascii="仿宋" w:eastAsia="仿宋" w:hAnsi="仿宋" w:hint="eastAsia"/>
          <w:sz w:val="32"/>
          <w:szCs w:val="32"/>
        </w:rPr>
        <w:t>和中心城区控制性详细规划</w:t>
      </w:r>
      <w:r w:rsidRPr="004E7090">
        <w:rPr>
          <w:rFonts w:ascii="仿宋" w:eastAsia="仿宋" w:hAnsi="仿宋" w:hint="eastAsia"/>
          <w:sz w:val="32"/>
          <w:szCs w:val="32"/>
        </w:rPr>
        <w:t>的</w:t>
      </w:r>
      <w:r w:rsidR="005125A5" w:rsidRPr="004E7090">
        <w:rPr>
          <w:rFonts w:ascii="仿宋" w:eastAsia="仿宋" w:hAnsi="仿宋" w:hint="eastAsia"/>
          <w:sz w:val="32"/>
          <w:szCs w:val="32"/>
        </w:rPr>
        <w:t>编制工作</w:t>
      </w:r>
      <w:r w:rsidRPr="004E7090">
        <w:rPr>
          <w:rFonts w:ascii="仿宋" w:eastAsia="仿宋" w:hAnsi="仿宋" w:hint="eastAsia"/>
          <w:sz w:val="32"/>
          <w:szCs w:val="32"/>
        </w:rPr>
        <w:t>；优化万川新城、黎家坪新区控制性详细规划成果，确保2019年底完成全县245个行政村村庄规划的编制工作，2020年完成14个建制镇控制性详细规划的编制工作。</w:t>
      </w:r>
      <w:r w:rsidR="005125A5" w:rsidRPr="004E7090">
        <w:rPr>
          <w:rFonts w:ascii="仿宋" w:eastAsia="仿宋" w:hAnsi="仿宋" w:hint="eastAsia"/>
          <w:sz w:val="32"/>
          <w:szCs w:val="32"/>
        </w:rPr>
        <w:t>继续</w:t>
      </w:r>
      <w:r w:rsidRPr="004E7090">
        <w:rPr>
          <w:rFonts w:ascii="仿宋" w:eastAsia="仿宋" w:hAnsi="仿宋" w:hint="eastAsia"/>
          <w:sz w:val="32"/>
          <w:szCs w:val="32"/>
        </w:rPr>
        <w:t>推进城东和城西“三旧”改造、奥园广场城市综合体等亿元以上项目建设。着力</w:t>
      </w:r>
      <w:r w:rsidR="005125A5" w:rsidRPr="004E7090">
        <w:rPr>
          <w:rFonts w:ascii="仿宋" w:eastAsia="仿宋" w:hAnsi="仿宋" w:hint="eastAsia"/>
          <w:sz w:val="32"/>
          <w:szCs w:val="32"/>
        </w:rPr>
        <w:t>抓好</w:t>
      </w:r>
      <w:r w:rsidRPr="004E7090">
        <w:rPr>
          <w:rFonts w:ascii="仿宋" w:eastAsia="仿宋" w:hAnsi="仿宋" w:hint="eastAsia"/>
          <w:sz w:val="32"/>
          <w:szCs w:val="32"/>
        </w:rPr>
        <w:t>人民医院</w:t>
      </w:r>
      <w:r w:rsidR="005125A5" w:rsidRPr="004E7090">
        <w:rPr>
          <w:rFonts w:ascii="仿宋" w:eastAsia="仿宋" w:hAnsi="仿宋" w:hint="eastAsia"/>
          <w:sz w:val="32"/>
          <w:szCs w:val="32"/>
        </w:rPr>
        <w:t>侧道路</w:t>
      </w:r>
      <w:r w:rsidRPr="004E7090">
        <w:rPr>
          <w:rFonts w:ascii="仿宋" w:eastAsia="仿宋" w:hAnsi="仿宋" w:hint="eastAsia"/>
          <w:sz w:val="32"/>
          <w:szCs w:val="32"/>
        </w:rPr>
        <w:t>提升改造</w:t>
      </w:r>
      <w:r w:rsidR="00E51CA8" w:rsidRPr="004E7090">
        <w:rPr>
          <w:rFonts w:ascii="仿宋" w:eastAsia="仿宋" w:hAnsi="仿宋" w:hint="eastAsia"/>
          <w:sz w:val="32"/>
          <w:szCs w:val="32"/>
        </w:rPr>
        <w:t>和内环东路路网、市场建设</w:t>
      </w:r>
      <w:r w:rsidRPr="004E7090">
        <w:rPr>
          <w:rFonts w:ascii="仿宋" w:eastAsia="仿宋" w:hAnsi="仿宋" w:hint="eastAsia"/>
          <w:sz w:val="32"/>
          <w:szCs w:val="32"/>
        </w:rPr>
        <w:t>等项目。积极指导、配合好高陂、大麻、茶阳三个中心镇“六个一”创建工作。在按照建设方案保质保量按时完成目前项目的基础上，以具体项目继续推进我县扩容提质步伐，完善城市基础设施和公共服务，提升城市品质和功能，增强人口、产业的聚集能力。</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加快美丽乡村建设。</w:t>
      </w:r>
      <w:r w:rsidRPr="004E7090">
        <w:rPr>
          <w:rFonts w:ascii="仿宋" w:eastAsia="仿宋" w:hAnsi="仿宋" w:hint="eastAsia"/>
          <w:sz w:val="32"/>
          <w:szCs w:val="32"/>
        </w:rPr>
        <w:t>全面实施乡村振兴战略，围绕“产业兴旺、生态宜居、乡风文明、治理有效、生活富裕”总要求，聚焦产业、生态、文化、人才和组织振兴，全域推进生态宜居美丽乡村建设。积极探索“一村一品”“一村一业”特色发展模式，突出资源和历史文化特色，推动各村镇向特色化、产业化发展。重点规划建设打造“西岩茶乡”示范片、百侯“人文古韵”示范片、三河“红色记忆”示范片、大麻“万福禅韵”六村联动示范片、“中国高陂瓷乡”示范片、西河“十村绕漳河”示范片、湖寮“诗画田园”示范片等七大连片示范村，以及25个特色精品村。抓好农村危房改造，进一步规范农村建房，加大传统村落保护开发力度，加快培</w:t>
      </w:r>
      <w:r w:rsidRPr="004E7090">
        <w:rPr>
          <w:rFonts w:ascii="仿宋" w:eastAsia="仿宋" w:hAnsi="仿宋" w:hint="eastAsia"/>
          <w:sz w:val="32"/>
          <w:szCs w:val="32"/>
        </w:rPr>
        <w:lastRenderedPageBreak/>
        <w:t>育省级名镇名村。推进农村土地制度和集体产权制度改革，稳定土地承包经营延续30年不变的农村基本经营制度。推行农村“三变”改革，确保农民从土地流转中获取收益。全面落实强农惠农富农政策，支持农村创业创新，拓宽增收渠道。</w:t>
      </w:r>
      <w:r w:rsidR="006F42EF">
        <w:rPr>
          <w:rFonts w:ascii="仿宋" w:eastAsia="仿宋" w:hAnsi="仿宋" w:hint="eastAsia"/>
          <w:sz w:val="32"/>
          <w:szCs w:val="32"/>
        </w:rPr>
        <w:t>积极开展创建“世界长寿之乡”活动。</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深入推进城乡环境综合整治。</w:t>
      </w:r>
      <w:r w:rsidRPr="004E7090">
        <w:rPr>
          <w:rFonts w:ascii="仿宋" w:eastAsia="仿宋" w:hAnsi="仿宋" w:hint="eastAsia"/>
          <w:sz w:val="32"/>
          <w:szCs w:val="32"/>
        </w:rPr>
        <w:t>推进城市管理综合执法体制改革，严厉打击“两违”，整治“六乱”，继续推进县城市容环境网格化管理，落实“门前三包”制度，推进县城环境卫生市场化，深入开展爱国卫生运动，抓好传染病</w:t>
      </w:r>
      <w:r w:rsidR="00C20B95" w:rsidRPr="004E7090">
        <w:rPr>
          <w:rFonts w:ascii="仿宋" w:eastAsia="仿宋" w:hAnsi="仿宋" w:hint="eastAsia"/>
          <w:sz w:val="32"/>
          <w:szCs w:val="32"/>
        </w:rPr>
        <w:t>及地方病</w:t>
      </w:r>
      <w:r w:rsidRPr="004E7090">
        <w:rPr>
          <w:rFonts w:ascii="仿宋" w:eastAsia="仿宋" w:hAnsi="仿宋" w:hint="eastAsia"/>
          <w:sz w:val="32"/>
          <w:szCs w:val="32"/>
        </w:rPr>
        <w:t>防治、病媒生物防制、公共场所卫生等工作，力争成功创建“国家卫生县城”，建设干净、秀美、精致的最美小城。全面推行城乡环境卫生管理一体化，进一步提高城乡的环境保洁水平和管理水平，实现生活垃圾无害化处理模式新突破。结合美丽乡村建设，深入推进乡村人居环境综合整治，实施“十村示范、百村整治”工程，以及垃圾、污水、厕所、村道、住房和村庄环境6大整治行动，全面提升农村人居环境。力争2020年底全县245个行政村80%以上达到干净整洁村标准、50%以上达到美丽宜居村标准。</w:t>
      </w:r>
    </w:p>
    <w:p w:rsidR="00F72AD3" w:rsidRPr="00217A81" w:rsidRDefault="00F72AD3" w:rsidP="00217A81">
      <w:pPr>
        <w:ind w:firstLineChars="200" w:firstLine="643"/>
        <w:rPr>
          <w:rFonts w:ascii="仿宋" w:eastAsia="仿宋" w:hAnsi="仿宋"/>
          <w:b/>
          <w:sz w:val="32"/>
          <w:szCs w:val="32"/>
        </w:rPr>
      </w:pPr>
      <w:r w:rsidRPr="00217A81">
        <w:rPr>
          <w:rFonts w:ascii="仿宋" w:eastAsia="仿宋" w:hAnsi="仿宋" w:hint="eastAsia"/>
          <w:b/>
          <w:sz w:val="32"/>
          <w:szCs w:val="32"/>
        </w:rPr>
        <w:t>（四）加快发展文化教育事业，进一步提升大埔客家文化魅力</w:t>
      </w:r>
    </w:p>
    <w:p w:rsidR="00F72AD3" w:rsidRPr="004E7090" w:rsidRDefault="00F72AD3" w:rsidP="004E7090">
      <w:pPr>
        <w:ind w:firstLineChars="200" w:firstLine="640"/>
        <w:rPr>
          <w:rFonts w:ascii="仿宋" w:eastAsia="仿宋" w:hAnsi="仿宋"/>
          <w:sz w:val="32"/>
          <w:szCs w:val="32"/>
        </w:rPr>
      </w:pPr>
      <w:r w:rsidRPr="004E7090">
        <w:rPr>
          <w:rFonts w:ascii="仿宋" w:eastAsia="仿宋" w:hAnsi="仿宋" w:hint="eastAsia"/>
          <w:sz w:val="32"/>
          <w:szCs w:val="32"/>
        </w:rPr>
        <w:t>充分挖掘名人文化，打造国学教育示范高地，推动文化大发展大繁荣，努力满足人民群众不断增长的精神文化需求，</w:t>
      </w:r>
      <w:r w:rsidRPr="004E7090">
        <w:rPr>
          <w:rFonts w:ascii="仿宋" w:eastAsia="仿宋" w:hAnsi="仿宋" w:hint="eastAsia"/>
          <w:sz w:val="32"/>
          <w:szCs w:val="32"/>
        </w:rPr>
        <w:lastRenderedPageBreak/>
        <w:t>建设国家级客家文化生态保护示范区，不断提升文化竞争软实力。</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全面提升文化产业发展水平。一是</w:t>
      </w:r>
      <w:r w:rsidRPr="004E7090">
        <w:rPr>
          <w:rFonts w:ascii="仿宋" w:eastAsia="仿宋" w:hAnsi="仿宋" w:hint="eastAsia"/>
          <w:sz w:val="32"/>
          <w:szCs w:val="32"/>
        </w:rPr>
        <w:t>深入贯彻落实《公共文化服务保障法》和《公共图书馆法》，加强全县公共文化服务体系的建设。</w:t>
      </w:r>
      <w:r w:rsidRPr="00217A81">
        <w:rPr>
          <w:rFonts w:ascii="仿宋" w:eastAsia="仿宋" w:hAnsi="仿宋" w:hint="eastAsia"/>
          <w:b/>
          <w:sz w:val="32"/>
          <w:szCs w:val="32"/>
        </w:rPr>
        <w:t>二是</w:t>
      </w:r>
      <w:r w:rsidRPr="004E7090">
        <w:rPr>
          <w:rFonts w:ascii="仿宋" w:eastAsia="仿宋" w:hAnsi="仿宋" w:hint="eastAsia"/>
          <w:sz w:val="32"/>
          <w:szCs w:val="32"/>
        </w:rPr>
        <w:t>全面提高文化遗产保护和利用水平。加强对重点文物的保护、开发和利用。</w:t>
      </w:r>
      <w:r w:rsidRPr="004E7090">
        <w:rPr>
          <w:rFonts w:ascii="宋体" w:hAnsi="宋体" w:cs="宋体" w:hint="eastAsia"/>
          <w:sz w:val="32"/>
          <w:szCs w:val="32"/>
        </w:rPr>
        <w:t> </w:t>
      </w:r>
      <w:r w:rsidRPr="004E7090">
        <w:rPr>
          <w:rFonts w:ascii="仿宋" w:eastAsia="仿宋" w:hAnsi="仿宋" w:hint="eastAsia"/>
          <w:sz w:val="32"/>
          <w:szCs w:val="32"/>
        </w:rPr>
        <w:t>加快客家文化生态保护区建设力度，依据《客家文化（梅州）生态保护区总体规划》，建设非物质文化遗产场馆，抓好文化遗产原生态保护与活态传承。</w:t>
      </w:r>
      <w:r w:rsidRPr="00217A81">
        <w:rPr>
          <w:rFonts w:ascii="仿宋" w:eastAsia="仿宋" w:hAnsi="仿宋" w:hint="eastAsia"/>
          <w:b/>
          <w:sz w:val="32"/>
          <w:szCs w:val="32"/>
        </w:rPr>
        <w:t>三是</w:t>
      </w:r>
      <w:r w:rsidRPr="004E7090">
        <w:rPr>
          <w:rFonts w:ascii="仿宋" w:eastAsia="仿宋" w:hAnsi="仿宋" w:hint="eastAsia"/>
          <w:sz w:val="32"/>
          <w:szCs w:val="32"/>
        </w:rPr>
        <w:t>着力提升传统文化产业，加快发展新兴文化业态，适应新常态，努力传承创新好客家优秀传统文化。积极促进文化、科技和旅游融合，提高文化产业规模化、集约化、专业化水平。依托高陂陶瓷文化产业园（省级），建设文化创意产业孵化基地，培育文化创意企业，推动大埔发展文化创意产业发展。</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进一步提高教育发展质量和水平。一是</w:t>
      </w:r>
      <w:r w:rsidRPr="004E7090">
        <w:rPr>
          <w:rFonts w:ascii="仿宋" w:eastAsia="仿宋" w:hAnsi="仿宋" w:hint="eastAsia"/>
          <w:sz w:val="32"/>
          <w:szCs w:val="32"/>
        </w:rPr>
        <w:t>全力推进城乡学校扩容提质。不断加大资金投入，推进现代化学校建设，全面提升城乡学校办学条件，继续推进大埔三小、家炳职校、大麻中小等学校新建、改扩建工程。</w:t>
      </w:r>
      <w:r w:rsidRPr="00217A81">
        <w:rPr>
          <w:rFonts w:ascii="仿宋" w:eastAsia="仿宋" w:hAnsi="仿宋" w:hint="eastAsia"/>
          <w:b/>
          <w:sz w:val="32"/>
          <w:szCs w:val="32"/>
        </w:rPr>
        <w:t>二是</w:t>
      </w:r>
      <w:r w:rsidRPr="004E7090">
        <w:rPr>
          <w:rFonts w:ascii="仿宋" w:eastAsia="仿宋" w:hAnsi="仿宋" w:hint="eastAsia"/>
          <w:sz w:val="32"/>
          <w:szCs w:val="32"/>
        </w:rPr>
        <w:t>全力推进教师发展中心建设。为促进中小学教师专业发展和提升专业水平，适应基础教育教学改革需要，加快推进教师发展中心建设。通过建设教师发展中心，整合培训资源，将实现区域内教科研训一体化，做到管理统一、资源共享、信息贯通、人财物集</w:t>
      </w:r>
      <w:r w:rsidRPr="004E7090">
        <w:rPr>
          <w:rFonts w:ascii="仿宋" w:eastAsia="仿宋" w:hAnsi="仿宋" w:hint="eastAsia"/>
          <w:sz w:val="32"/>
          <w:szCs w:val="32"/>
        </w:rPr>
        <w:lastRenderedPageBreak/>
        <w:t>中使用，使教师培训重心下移，更好地为教师专业发展服务，提升教师素质和能力水平，全面提高教育教学质量。</w:t>
      </w:r>
      <w:r w:rsidRPr="00217A81">
        <w:rPr>
          <w:rFonts w:ascii="仿宋" w:eastAsia="仿宋" w:hAnsi="仿宋" w:hint="eastAsia"/>
          <w:b/>
          <w:sz w:val="32"/>
          <w:szCs w:val="32"/>
        </w:rPr>
        <w:t>三是</w:t>
      </w:r>
      <w:r w:rsidRPr="004E7090">
        <w:rPr>
          <w:rFonts w:ascii="仿宋" w:eastAsia="仿宋" w:hAnsi="仿宋" w:hint="eastAsia"/>
          <w:sz w:val="32"/>
          <w:szCs w:val="32"/>
        </w:rPr>
        <w:t>全力打造大埔教育特色品牌。办强虎中。全力打造精品教育，擦亮百年老校品牌，不断提升虎中在全市乃至全省同类学校中的综合竞争力。办大职校。加快发展现代职业教育，办特办活办大职业教育，培养更多适应本地产业发展需要的人才。办出特色。全面推进素质教育，大力实施“一校一品”工程，以学校特色拓宽发展空间,以特色立校、品牌强校，努力走出一条特色化、品牌化的教育发展之路，促进学生全面健康发展。</w:t>
      </w:r>
    </w:p>
    <w:p w:rsidR="00F72AD3" w:rsidRPr="00217A81" w:rsidRDefault="00F72AD3" w:rsidP="00217A81">
      <w:pPr>
        <w:ind w:firstLineChars="200" w:firstLine="643"/>
        <w:rPr>
          <w:rFonts w:ascii="仿宋" w:eastAsia="仿宋" w:hAnsi="仿宋"/>
          <w:b/>
          <w:sz w:val="32"/>
          <w:szCs w:val="32"/>
        </w:rPr>
      </w:pPr>
      <w:r w:rsidRPr="00217A81">
        <w:rPr>
          <w:rFonts w:ascii="仿宋" w:eastAsia="仿宋" w:hAnsi="仿宋" w:hint="eastAsia"/>
          <w:b/>
          <w:sz w:val="32"/>
          <w:szCs w:val="32"/>
        </w:rPr>
        <w:t>（五）提高保障和改善民生水平，打造共建共治共享社会治理格局</w:t>
      </w:r>
    </w:p>
    <w:p w:rsidR="00F72AD3" w:rsidRPr="004E7090" w:rsidRDefault="00F72AD3" w:rsidP="004E7090">
      <w:pPr>
        <w:ind w:firstLineChars="200" w:firstLine="640"/>
        <w:rPr>
          <w:rFonts w:ascii="仿宋" w:eastAsia="仿宋" w:hAnsi="仿宋"/>
          <w:sz w:val="32"/>
          <w:szCs w:val="32"/>
        </w:rPr>
      </w:pPr>
      <w:r w:rsidRPr="004E7090">
        <w:rPr>
          <w:rFonts w:ascii="仿宋" w:eastAsia="仿宋" w:hAnsi="仿宋" w:hint="eastAsia"/>
          <w:sz w:val="32"/>
          <w:szCs w:val="32"/>
        </w:rPr>
        <w:t>坚持“民生为本、人才优先”， 健全促进就业创业体制机制，建立更加公平、可持续的社会保障体系，推进人才资源整体开发，深化人事管理制度和收入分配制度改革，构建和谐劳动关系，推进人力资源社会保障基本公共服务均等化，努力实现全县人力资源社会保障事业全面协调可持续发展。</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进一步健全社会保障体系。一是提升就业培训质量，培育就业增长点。</w:t>
      </w:r>
      <w:r w:rsidRPr="004E7090">
        <w:rPr>
          <w:rFonts w:ascii="仿宋" w:eastAsia="仿宋" w:hAnsi="仿宋" w:hint="eastAsia"/>
          <w:sz w:val="32"/>
          <w:szCs w:val="32"/>
        </w:rPr>
        <w:t>加强职业技能培训力度，以新成长劳动力、城乡富余劳动力、失地农民等为重点培训对象，以企业在岗职工技能培训为抓手，采取开发公益性岗位安置、优先推荐就业、开展公共就业服务专项活动等措施，健全以企业为主</w:t>
      </w:r>
      <w:r w:rsidRPr="004E7090">
        <w:rPr>
          <w:rFonts w:ascii="仿宋" w:eastAsia="仿宋" w:hAnsi="仿宋" w:hint="eastAsia"/>
          <w:sz w:val="32"/>
          <w:szCs w:val="32"/>
        </w:rPr>
        <w:lastRenderedPageBreak/>
        <w:t>体，社会各类培训机构共同参与的职业培训网络，推动实现更高质量就业，助推企业转型升级。完善劳动力转移就业机制，加强与珠江三角地区对口劳务帮扶和劳务对接，将劳动力技能培训与助推产业转型升级紧密结合；鼓励创业带动就业，以培育创业主体、优化创业服务、改善创业环境为重点，不断完善创业服务体系建设，助推全民创业。</w:t>
      </w:r>
      <w:r w:rsidRPr="00217A81">
        <w:rPr>
          <w:rFonts w:ascii="仿宋" w:eastAsia="仿宋" w:hAnsi="仿宋" w:hint="eastAsia"/>
          <w:b/>
          <w:sz w:val="32"/>
          <w:szCs w:val="32"/>
        </w:rPr>
        <w:t>二是构建和谐劳动关系，维护社会稳定。</w:t>
      </w:r>
      <w:r w:rsidRPr="004E7090">
        <w:rPr>
          <w:rFonts w:ascii="仿宋" w:eastAsia="仿宋" w:hAnsi="仿宋" w:hint="eastAsia"/>
          <w:sz w:val="32"/>
          <w:szCs w:val="32"/>
        </w:rPr>
        <w:t>加大扩面征缴力度，建立扩面征缴稽查常态机制，不断扩大社保覆盖范围；完善社保关系转移接续制度，推动社保关系省际、省内、市内顺畅转移接续；完善多层次社会保障制度体系，深入探索待遇提高机制，不断提升社会保障水平。</w:t>
      </w:r>
      <w:r w:rsidRPr="00217A81">
        <w:rPr>
          <w:rFonts w:ascii="仿宋" w:eastAsia="仿宋" w:hAnsi="仿宋" w:hint="eastAsia"/>
          <w:b/>
          <w:sz w:val="32"/>
          <w:szCs w:val="32"/>
        </w:rPr>
        <w:t>三是全面实现社保卡户籍人口全覆盖，</w:t>
      </w:r>
      <w:r w:rsidRPr="004E7090">
        <w:rPr>
          <w:rFonts w:ascii="仿宋" w:eastAsia="仿宋" w:hAnsi="仿宋" w:hint="eastAsia"/>
          <w:sz w:val="32"/>
          <w:szCs w:val="32"/>
        </w:rPr>
        <w:t>加快实现社会保障“一卡通”，推进集中式人力资源社会保障一体化信息系统建设。</w:t>
      </w:r>
      <w:r w:rsidRPr="00217A81">
        <w:rPr>
          <w:rFonts w:ascii="仿宋" w:eastAsia="仿宋" w:hAnsi="仿宋" w:hint="eastAsia"/>
          <w:b/>
          <w:sz w:val="32"/>
          <w:szCs w:val="32"/>
        </w:rPr>
        <w:t>四是健全工资收入分配格局，</w:t>
      </w:r>
      <w:r w:rsidRPr="004E7090">
        <w:rPr>
          <w:rFonts w:ascii="仿宋" w:eastAsia="仿宋" w:hAnsi="仿宋" w:hint="eastAsia"/>
          <w:sz w:val="32"/>
          <w:szCs w:val="32"/>
        </w:rPr>
        <w:t>优化工资结构，提高居民收入，以优化工资结构，提高最低工资标准为举措，缩小城乡居民收入差距。完善市县区域联动调整公职人员津补贴水平联动机制，落实农村边远地区义务教育学校教师岗位津贴制度，努力使发展成果更多更公平地惠及全县人民。</w:t>
      </w:r>
      <w:r w:rsidRPr="00217A81">
        <w:rPr>
          <w:rFonts w:ascii="仿宋" w:eastAsia="仿宋" w:hAnsi="仿宋" w:hint="eastAsia"/>
          <w:b/>
          <w:sz w:val="32"/>
          <w:szCs w:val="32"/>
        </w:rPr>
        <w:t>五是重抓政策覆盖，服务前移，全面推进公共服务均等化。</w:t>
      </w:r>
      <w:r w:rsidRPr="004E7090">
        <w:rPr>
          <w:rFonts w:ascii="仿宋" w:eastAsia="仿宋" w:hAnsi="仿宋" w:hint="eastAsia"/>
          <w:sz w:val="32"/>
          <w:szCs w:val="32"/>
        </w:rPr>
        <w:t>把人力资源社会保障公共服务体系建设，推进公共服务均等化作为工作的优先目标，放在经济社会发展的优先位置，重抓服务平台建设，实现服务网络全覆盖，重抓信息网络建设，实现服务效能大提升。</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lastRenderedPageBreak/>
        <w:t>全面提升医疗卫生发展水平。一是</w:t>
      </w:r>
      <w:r w:rsidRPr="004E7090">
        <w:rPr>
          <w:rFonts w:ascii="仿宋" w:eastAsia="仿宋" w:hAnsi="仿宋" w:hint="eastAsia"/>
          <w:sz w:val="32"/>
          <w:szCs w:val="32"/>
        </w:rPr>
        <w:t>按照“办强县人民医院、办特县中医医院、办优县妇幼保健计划生育服务中心、办好县慢病院”的思路，全力加快县级医院改扩建（迁建）工作，全面提升县级医疗卫生实力和水平。</w:t>
      </w:r>
      <w:r w:rsidRPr="00217A81">
        <w:rPr>
          <w:rFonts w:ascii="仿宋" w:eastAsia="仿宋" w:hAnsi="仿宋" w:hint="eastAsia"/>
          <w:b/>
          <w:sz w:val="32"/>
          <w:szCs w:val="32"/>
        </w:rPr>
        <w:t>二是</w:t>
      </w:r>
      <w:r w:rsidRPr="004E7090">
        <w:rPr>
          <w:rFonts w:ascii="仿宋" w:eastAsia="仿宋" w:hAnsi="仿宋" w:hint="eastAsia"/>
          <w:sz w:val="32"/>
          <w:szCs w:val="32"/>
        </w:rPr>
        <w:t>加强县级医院装备设备建设。按照填平补齐原则，县级医院应配置影像、检验、手术等76种设备。</w:t>
      </w:r>
      <w:r w:rsidRPr="00217A81">
        <w:rPr>
          <w:rFonts w:ascii="仿宋" w:eastAsia="仿宋" w:hAnsi="仿宋" w:hint="eastAsia"/>
          <w:b/>
          <w:sz w:val="32"/>
          <w:szCs w:val="32"/>
        </w:rPr>
        <w:t>三是</w:t>
      </w:r>
      <w:r w:rsidRPr="004E7090">
        <w:rPr>
          <w:rFonts w:ascii="仿宋" w:eastAsia="仿宋" w:hAnsi="仿宋" w:hint="eastAsia"/>
          <w:sz w:val="32"/>
          <w:szCs w:val="32"/>
        </w:rPr>
        <w:t>加强基层医疗卫生机构能力建设。推进县镇一体化管理；扎实开展基本医疗和基本公共卫生服务示范镇创建活动，加大投入，全力推进镇卫生院的迁建、改扩建工程建设；加快实施村卫生站规范化建设，全面完成全县232间公建民营村卫生站规范化建设，促进乡镇卫生院和村卫生站一体化管理，满足农村群众基本医疗卫生服务需求，实现农村三级医疗服务网络的网底功能。</w:t>
      </w:r>
    </w:p>
    <w:p w:rsidR="00F72AD3" w:rsidRPr="00217A81" w:rsidRDefault="00F72AD3" w:rsidP="00217A81">
      <w:pPr>
        <w:ind w:firstLineChars="200" w:firstLine="643"/>
        <w:rPr>
          <w:rFonts w:ascii="仿宋" w:eastAsia="仿宋" w:hAnsi="仿宋"/>
          <w:b/>
          <w:sz w:val="32"/>
          <w:szCs w:val="32"/>
        </w:rPr>
      </w:pPr>
      <w:r w:rsidRPr="00217A81">
        <w:rPr>
          <w:rFonts w:ascii="仿宋" w:eastAsia="仿宋" w:hAnsi="仿宋" w:hint="eastAsia"/>
          <w:b/>
          <w:sz w:val="32"/>
          <w:szCs w:val="32"/>
        </w:rPr>
        <w:t>（六）坚决打好污染防治攻坚战，厚植绿色发展优势</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加强生态环境治理。</w:t>
      </w:r>
      <w:r w:rsidRPr="004E7090">
        <w:rPr>
          <w:rFonts w:ascii="仿宋" w:eastAsia="仿宋" w:hAnsi="仿宋" w:hint="eastAsia"/>
          <w:sz w:val="32"/>
          <w:szCs w:val="32"/>
        </w:rPr>
        <w:t>坚决打好污染防治攻坚战，加大大气、水、土壤等污染防治力度。抓好挥发性有机物污染控制、工地道路扬尘源污染控制和露天焚烧废弃物污染控制、机动车污染控制、秸秆禁烧等，完成黄标车淘汰和锅炉整治任务。坚决关停不能稳定达标的“小散乱污”企业，加强极端天气的预警和应急应对，确保空气质量达标。实施“水十条”和“南粤水更清”、“南粤河更美”行动计划。强化源头防治、污染治理、水生态修复和水质保护，严控河道采砂，确保水资源利用更加充分、水环境改善更加明显、水安全保障更加</w:t>
      </w:r>
      <w:r w:rsidRPr="004E7090">
        <w:rPr>
          <w:rFonts w:ascii="仿宋" w:eastAsia="仿宋" w:hAnsi="仿宋" w:hint="eastAsia"/>
          <w:sz w:val="32"/>
          <w:szCs w:val="32"/>
        </w:rPr>
        <w:lastRenderedPageBreak/>
        <w:t>有力。全面落实“河长制”。加快推进跨界河流水污染联防联控。实施最严格的水资源管理，切实增强全民节水意识，提高污水收集率、处理率和中水回收利用率。加快实现镇级污水处理厂设施全覆盖，全县城镇生活污水集中处理率达到95%以上。实行土壤环境分级分类管控，优先保护耕地土壤环境。推进废弃瓷土矿迹地污染治理与修复试点工作。加强县城污水处理厂污泥处理处置监管。</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加强生态环境建设。</w:t>
      </w:r>
      <w:r w:rsidRPr="004E7090">
        <w:rPr>
          <w:rFonts w:ascii="仿宋" w:eastAsia="仿宋" w:hAnsi="仿宋" w:hint="eastAsia"/>
          <w:sz w:val="32"/>
          <w:szCs w:val="32"/>
        </w:rPr>
        <w:t>深入推进“绿满梅州”大行动，以县城周边、重点景区、高速公路、国省道沿线和江河两岸为重点，建设城市林荫大道、乡村绿道和景观林带。以梅州市创建节能减排财政政策综合示范城市为契机，积极开展创建节约型机关、绿色家庭、绿色学校、绿色社区和绿色交通等行动，确保全面完成单位GDP能耗、四项主要污染物减排目标。推进碳汇林、生态景观林带、乡村绿化美化、森林进城围城等四大工程建设，规划建设一批乡村绿化美化省、市级示范点，抓好三河湿地公园和丰溪省级自然保护区总规修编工作。推进国家森林城市、广东省森林小镇创建工作，重点抓好阴那山国家级森林公园、五虎山省级森林公园的建设管理。</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加强生态文明制度建设。</w:t>
      </w:r>
      <w:r w:rsidRPr="004E7090">
        <w:rPr>
          <w:rFonts w:ascii="仿宋" w:eastAsia="仿宋" w:hAnsi="仿宋" w:hint="eastAsia"/>
          <w:sz w:val="32"/>
          <w:szCs w:val="32"/>
        </w:rPr>
        <w:t>全面落实生态环境保护“一岗双责”和联席会议制度，健全完善生态环境保护监管制度，加大生态环境保护执法和督查问责力度。实行国土空间开发</w:t>
      </w:r>
      <w:r w:rsidRPr="004E7090">
        <w:rPr>
          <w:rFonts w:ascii="仿宋" w:eastAsia="仿宋" w:hAnsi="仿宋" w:hint="eastAsia"/>
          <w:sz w:val="32"/>
          <w:szCs w:val="32"/>
        </w:rPr>
        <w:lastRenderedPageBreak/>
        <w:t>保护制度，严格落实森林、绿地、河湖水系等生态保护红线管控，加强自然生态空间保护。认真落实领导干部任期生态文明建设责任制，全面推开领导干部自然资源资产离任审计。落实最严格的耕地保护制度，加快推进永久基本农田划定工作。加强大埔电厂、县城污水处理厂等国控污染源在线监测监管，确保污染物达标排放。严格落实项目准入条件，严把环境准入关。深入开展环境保护大检查活动，坚决制止和惩处破坏生态环境行为，奋力建设天蓝地绿水清气爽的美丽大埔。</w:t>
      </w:r>
    </w:p>
    <w:p w:rsidR="00F72AD3" w:rsidRPr="00217A81" w:rsidRDefault="00F72AD3" w:rsidP="00217A81">
      <w:pPr>
        <w:ind w:firstLineChars="200" w:firstLine="643"/>
        <w:rPr>
          <w:rFonts w:ascii="仿宋" w:eastAsia="仿宋" w:hAnsi="仿宋"/>
          <w:b/>
          <w:sz w:val="32"/>
          <w:szCs w:val="32"/>
        </w:rPr>
      </w:pPr>
      <w:r w:rsidRPr="00217A81">
        <w:rPr>
          <w:rFonts w:ascii="仿宋" w:eastAsia="仿宋" w:hAnsi="仿宋" w:hint="eastAsia"/>
          <w:b/>
          <w:sz w:val="32"/>
          <w:szCs w:val="32"/>
        </w:rPr>
        <w:t>（七）继续推进全面深化改革，构建推动经济高质量发展的体制机制</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加快推进重点领域改革。</w:t>
      </w:r>
      <w:r w:rsidRPr="004E7090">
        <w:rPr>
          <w:rFonts w:ascii="仿宋" w:eastAsia="仿宋" w:hAnsi="仿宋" w:hint="eastAsia"/>
          <w:sz w:val="32"/>
          <w:szCs w:val="32"/>
        </w:rPr>
        <w:t>对标最优最好最先进的地区和做法，深化“放管服”改革，塑造富有吸引力的营商环境。以深化党和国家机构改革为契机，推进“数字政府”建设，深化“马上办”“一门式一网式”政务服务改革。实施“照后减证”、商事登记全程电子化等措施，提升企业和群众办事便利度。建立健全公共信用信息服务平台，完善守信联合激励和失信联合惩戒机制。深化财税和投融资体制改革，配合推进省以下财政事权和支出责任划分改革，深化预算管理制度改革，继续推进零基预算改革和财政资金项目库管理，加强政府采购管理，规范政府购买服务，建立健全化解债务风险的长效机制。进一步推广运用PPP模式，完善项目库动</w:t>
      </w:r>
      <w:r w:rsidRPr="004E7090">
        <w:rPr>
          <w:rFonts w:ascii="仿宋" w:eastAsia="仿宋" w:hAnsi="仿宋" w:hint="eastAsia"/>
          <w:sz w:val="32"/>
          <w:szCs w:val="32"/>
        </w:rPr>
        <w:lastRenderedPageBreak/>
        <w:t>态管理。加强金融改革创新，发展普惠金融，切实加大金融对中小微企业、三农的服务、支持力度。实施优质品牌培育工程和对标达标专项行动，全面提升大埔产品、工程、服务和环境质量。以新发展理念为指引，认真落实有利于推动重点生态功能区差异化考核的体制机制，形成以高质量发展为主导的指标体系、统计体系和绩效考核评价体系。</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加快推进干部人事制度改革。</w:t>
      </w:r>
      <w:r w:rsidRPr="004E7090">
        <w:rPr>
          <w:rFonts w:ascii="仿宋" w:eastAsia="仿宋" w:hAnsi="仿宋" w:hint="eastAsia"/>
          <w:sz w:val="32"/>
          <w:szCs w:val="32"/>
        </w:rPr>
        <w:t>围绕大埔事业发展的需要用干部，坚持德才兼备、以德为先的用人原则，进一步完善“能力在一线培养、业绩在一线考核、用人在一线选拔”的干部选育机制，着重选拔在重点项目建设、征地拆迁、脱贫攻坚等工作中实绩突出、群众公认的干部，对有能力敢担当的干部给平台给位子，引导干部把功夫放到干事创业上。严格落实干部能上能下要求，建立完善容错纠错机制，进一步加大干部正向激励和关心厚爱。</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探索创新社会管理体制。</w:t>
      </w:r>
      <w:r w:rsidRPr="004E7090">
        <w:rPr>
          <w:rFonts w:ascii="仿宋" w:eastAsia="仿宋" w:hAnsi="仿宋" w:hint="eastAsia"/>
          <w:sz w:val="32"/>
          <w:szCs w:val="32"/>
        </w:rPr>
        <w:t>大力探索新形势下社会管理新模式，着力解决影响社会稳定的源头性、基础性和根本性问题。深入开展社会工作示范镇、示范社区、示范村创建活动。加大社会组织培育发展力度。健全以党组织为核心的社区治理架构，把社区人员纳入社区管理，打造现代社区生活共同体。健全民主协商机制，引导社区群众有序参与自治事务。强化社区（村）公共服务职能，把工作重心和资源下沉到社区、网格中去，形成上下贯通、有序有效的基层治理体系。</w:t>
      </w:r>
      <w:r w:rsidRPr="004E7090">
        <w:rPr>
          <w:rFonts w:ascii="仿宋" w:eastAsia="仿宋" w:hAnsi="仿宋" w:hint="eastAsia"/>
          <w:sz w:val="32"/>
          <w:szCs w:val="32"/>
        </w:rPr>
        <w:lastRenderedPageBreak/>
        <w:t>强化村民自治，积极培育和引导村民理事会健康有序发展，全县具备条件的自然村（村民小组）实现村民理事会全覆盖；完善基层群众自治制度，健全村（社区）委会民主选举、民主管理、民主决策、民主监督机制。健全网络综合治理体系，维护全县网络安全。学习创新“枫桥经验”，健全社会矛盾纠纷预防和多元化解机制，进一步加强新时期信访工作，做到“小事不出村、大事不出镇、矛盾不上交”。发挥“中心+ 网格化+信息化”的作用，加快构建立体化信息化治安防控体系。</w:t>
      </w:r>
    </w:p>
    <w:p w:rsidR="00F72AD3" w:rsidRPr="00217A81" w:rsidRDefault="00F72AD3" w:rsidP="00217A81">
      <w:pPr>
        <w:ind w:firstLineChars="200" w:firstLine="643"/>
        <w:rPr>
          <w:rFonts w:ascii="仿宋" w:eastAsia="仿宋" w:hAnsi="仿宋"/>
          <w:b/>
          <w:sz w:val="32"/>
          <w:szCs w:val="32"/>
        </w:rPr>
      </w:pPr>
      <w:r w:rsidRPr="00217A81">
        <w:rPr>
          <w:rFonts w:ascii="仿宋" w:eastAsia="仿宋" w:hAnsi="仿宋" w:hint="eastAsia"/>
          <w:b/>
          <w:sz w:val="32"/>
          <w:szCs w:val="32"/>
        </w:rPr>
        <w:t>（八）进一步加强法治建设，建设服务型法治政府</w:t>
      </w:r>
    </w:p>
    <w:p w:rsidR="00F72AD3" w:rsidRPr="004E7090" w:rsidRDefault="00F72AD3" w:rsidP="00217A81">
      <w:pPr>
        <w:ind w:firstLineChars="200" w:firstLine="643"/>
        <w:rPr>
          <w:rFonts w:ascii="仿宋" w:eastAsia="仿宋" w:hAnsi="仿宋"/>
          <w:sz w:val="32"/>
          <w:szCs w:val="32"/>
        </w:rPr>
      </w:pPr>
      <w:r w:rsidRPr="00217A81">
        <w:rPr>
          <w:rFonts w:ascii="仿宋" w:eastAsia="仿宋" w:hAnsi="仿宋" w:hint="eastAsia"/>
          <w:b/>
          <w:sz w:val="32"/>
          <w:szCs w:val="32"/>
        </w:rPr>
        <w:t>加快政府职能转变，加快完善负面清单、准许清单、监管清单和行政职权清单。</w:t>
      </w:r>
      <w:r w:rsidRPr="004E7090">
        <w:rPr>
          <w:rFonts w:ascii="仿宋" w:eastAsia="仿宋" w:hAnsi="仿宋" w:hint="eastAsia"/>
          <w:sz w:val="32"/>
          <w:szCs w:val="32"/>
        </w:rPr>
        <w:t>以党和国家机构改革为契机，加快推进政府机构改革和乡镇综合改革，加强政府社会管理和公共服务职能，创建一流政务环境。严格落实重大行政决策各项制度，督促各级行政机关按照《广东省重大行政决策听证规定》、《梅州市重大行政决策程序规定（试行）》及其配套制度的要求和《大埔县政府重大行政决策听证目录》，明确本单位重大行政决策事项的范围，制订重大行政决策事项听证目录。作出重大行政决策，严格履行重大行政决策程序。强化行政问责，完善行政执法监督制度，继续贯彻《广东省行政执法责任制条例》，全面推行行政执法公示、执法过程全记录和重大行政执法决定法制审核制度，不断推进严格规</w:t>
      </w:r>
      <w:r w:rsidRPr="004E7090">
        <w:rPr>
          <w:rFonts w:ascii="仿宋" w:eastAsia="仿宋" w:hAnsi="仿宋" w:hint="eastAsia"/>
          <w:sz w:val="32"/>
          <w:szCs w:val="32"/>
        </w:rPr>
        <w:lastRenderedPageBreak/>
        <w:t>范公正文明执法。加强依法行政，自觉接受人大、政协、司法机关等的监督。全面推进政务公开。坚持反腐倡廉，认真贯彻落实中央八项规定实施细则，以更高标准更严要求持续整治“四风”突出问题，运用好监督执纪问责“四种形态”，强化日常监管、立足抓早抓小。保持惩治腐败高压态势，坚持无禁区、全覆盖、零容忍，坚持重遏制、强高压、长震慑。</w:t>
      </w:r>
    </w:p>
    <w:p w:rsidR="00B1552E" w:rsidRPr="00217A81" w:rsidRDefault="00B1552E" w:rsidP="004E7090">
      <w:pPr>
        <w:ind w:firstLineChars="200" w:firstLine="640"/>
        <w:rPr>
          <w:rFonts w:ascii="黑体" w:eastAsia="黑体" w:hAnsi="黑体"/>
          <w:sz w:val="32"/>
          <w:szCs w:val="32"/>
        </w:rPr>
      </w:pPr>
      <w:r w:rsidRPr="00217A81">
        <w:rPr>
          <w:rFonts w:ascii="黑体" w:eastAsia="黑体" w:hAnsi="黑体" w:hint="eastAsia"/>
          <w:sz w:val="32"/>
          <w:szCs w:val="32"/>
        </w:rPr>
        <w:t>五、部分目标调整草案</w:t>
      </w:r>
    </w:p>
    <w:p w:rsidR="003843B1" w:rsidRPr="003F5B74" w:rsidRDefault="003843B1" w:rsidP="003843B1">
      <w:pPr>
        <w:ind w:firstLineChars="200" w:firstLine="640"/>
        <w:rPr>
          <w:rFonts w:ascii="仿宋" w:eastAsia="仿宋" w:hAnsi="仿宋"/>
          <w:sz w:val="32"/>
          <w:szCs w:val="32"/>
        </w:rPr>
      </w:pPr>
      <w:r w:rsidRPr="003F5B74">
        <w:rPr>
          <w:rFonts w:ascii="仿宋" w:eastAsia="仿宋" w:hAnsi="仿宋" w:hint="eastAsia"/>
          <w:sz w:val="32"/>
          <w:szCs w:val="32"/>
        </w:rPr>
        <w:t>根据评估及实际情况，个别指标由于各种客观原因导致无法按原计划实现预期目标，为使规划更科学准确符合实际情况，《报告》建议对地区生产总值、人均地区生产总值、固定资产投资、地方公共财政预算收入、社会消费品零售总额、进出口总额、城镇化水平、森林覆盖率八个指标的2020年规划目标值进行适当调整。</w:t>
      </w:r>
    </w:p>
    <w:p w:rsidR="003843B1" w:rsidRDefault="003843B1" w:rsidP="003843B1">
      <w:pPr>
        <w:spacing w:line="574" w:lineRule="exact"/>
        <w:ind w:firstLineChars="200" w:firstLine="640"/>
        <w:rPr>
          <w:rFonts w:ascii="仿宋" w:eastAsia="仿宋" w:hAnsi="仿宋"/>
          <w:sz w:val="32"/>
          <w:szCs w:val="32"/>
        </w:rPr>
      </w:pPr>
      <w:r w:rsidRPr="006D08BB">
        <w:rPr>
          <w:rFonts w:ascii="楷体" w:eastAsia="楷体" w:hAnsi="楷体" w:hint="eastAsia"/>
          <w:sz w:val="32"/>
          <w:szCs w:val="32"/>
        </w:rPr>
        <w:t>（1）建议将地区生产总值2020年规划目标值由126亿元调整为100亿元，五年年均增速由12%调整为6%</w:t>
      </w:r>
      <w:r>
        <w:rPr>
          <w:rFonts w:ascii="仿宋" w:eastAsia="仿宋" w:hAnsi="仿宋" w:hint="eastAsia"/>
          <w:sz w:val="32"/>
          <w:szCs w:val="32"/>
        </w:rPr>
        <w:t>。</w:t>
      </w:r>
    </w:p>
    <w:p w:rsidR="003843B1" w:rsidRDefault="003843B1" w:rsidP="003843B1">
      <w:pPr>
        <w:ind w:firstLineChars="200" w:firstLine="640"/>
        <w:rPr>
          <w:rFonts w:ascii="楷体" w:eastAsia="楷体" w:hAnsi="楷体"/>
          <w:sz w:val="32"/>
          <w:szCs w:val="32"/>
        </w:rPr>
      </w:pPr>
      <w:r w:rsidRPr="006D08BB">
        <w:rPr>
          <w:rFonts w:ascii="楷体" w:eastAsia="楷体" w:hAnsi="楷体" w:hint="eastAsia"/>
          <w:sz w:val="32"/>
          <w:szCs w:val="32"/>
        </w:rPr>
        <w:t>（2）建议将人均地区生产总值2020年规划目标值由</w:t>
      </w:r>
      <w:r w:rsidRPr="006D08BB">
        <w:rPr>
          <w:rFonts w:ascii="楷体" w:eastAsia="楷体" w:hAnsi="楷体"/>
          <w:sz w:val="32"/>
          <w:szCs w:val="32"/>
        </w:rPr>
        <w:t>29300元</w:t>
      </w:r>
      <w:r w:rsidRPr="006D08BB">
        <w:rPr>
          <w:rFonts w:ascii="楷体" w:eastAsia="楷体" w:hAnsi="楷体" w:hint="eastAsia"/>
          <w:sz w:val="32"/>
          <w:szCs w:val="32"/>
        </w:rPr>
        <w:t>调整为24800元，五年年均增速由</w:t>
      </w:r>
      <w:r w:rsidRPr="006D08BB">
        <w:rPr>
          <w:rFonts w:ascii="楷体" w:eastAsia="楷体" w:hAnsi="楷体"/>
          <w:sz w:val="32"/>
          <w:szCs w:val="32"/>
        </w:rPr>
        <w:t>11.3</w:t>
      </w:r>
      <w:r w:rsidRPr="006D08BB">
        <w:rPr>
          <w:rFonts w:ascii="楷体" w:eastAsia="楷体" w:hAnsi="楷体" w:hint="eastAsia"/>
          <w:sz w:val="32"/>
          <w:szCs w:val="32"/>
        </w:rPr>
        <w:t>%调整为5.8%</w:t>
      </w:r>
      <w:r>
        <w:rPr>
          <w:rFonts w:ascii="楷体" w:eastAsia="楷体" w:hAnsi="楷体" w:hint="eastAsia"/>
          <w:sz w:val="32"/>
          <w:szCs w:val="32"/>
        </w:rPr>
        <w:t>。</w:t>
      </w:r>
    </w:p>
    <w:p w:rsidR="003843B1" w:rsidRDefault="003843B1" w:rsidP="003843B1">
      <w:pPr>
        <w:rPr>
          <w:rFonts w:ascii="楷体" w:eastAsia="楷体" w:hAnsi="楷体"/>
          <w:sz w:val="32"/>
          <w:szCs w:val="32"/>
        </w:rPr>
      </w:pPr>
      <w:r>
        <w:rPr>
          <w:rFonts w:ascii="仿宋" w:eastAsia="仿宋" w:hAnsi="仿宋" w:hint="eastAsia"/>
          <w:sz w:val="32"/>
          <w:szCs w:val="32"/>
        </w:rPr>
        <w:t xml:space="preserve">   </w:t>
      </w:r>
      <w:r w:rsidRPr="006D08BB">
        <w:rPr>
          <w:rFonts w:ascii="楷体" w:eastAsia="楷体" w:hAnsi="楷体" w:hint="eastAsia"/>
          <w:sz w:val="32"/>
          <w:szCs w:val="32"/>
        </w:rPr>
        <w:t>（3）建议将固定资产投资2020年规划目标值由210亿元调整为110亿元，五年年均增速由25%调整为10%。</w:t>
      </w:r>
    </w:p>
    <w:p w:rsidR="003843B1" w:rsidRPr="00B901B9" w:rsidRDefault="003843B1" w:rsidP="00B901B9">
      <w:pPr>
        <w:rPr>
          <w:rFonts w:ascii="仿宋" w:eastAsia="仿宋" w:hAnsi="仿宋" w:cs="仿宋_GB2312"/>
          <w:sz w:val="32"/>
          <w:szCs w:val="32"/>
        </w:rPr>
      </w:pPr>
      <w:r>
        <w:rPr>
          <w:rFonts w:ascii="楷体" w:eastAsia="楷体" w:hAnsi="楷体" w:hint="eastAsia"/>
          <w:sz w:val="32"/>
          <w:szCs w:val="32"/>
        </w:rPr>
        <w:t xml:space="preserve">  </w:t>
      </w:r>
      <w:r w:rsidR="00B901B9">
        <w:rPr>
          <w:rFonts w:ascii="楷体" w:eastAsia="楷体" w:hAnsi="楷体" w:hint="eastAsia"/>
          <w:sz w:val="32"/>
          <w:szCs w:val="32"/>
        </w:rPr>
        <w:t xml:space="preserve"> </w:t>
      </w:r>
      <w:r w:rsidRPr="006D08BB">
        <w:rPr>
          <w:rFonts w:ascii="楷体" w:eastAsia="楷体" w:hAnsi="楷体" w:hint="eastAsia"/>
          <w:sz w:val="32"/>
          <w:szCs w:val="32"/>
        </w:rPr>
        <w:t>（4）建议将地方一般公共预算收入2020年规划目标值由</w:t>
      </w:r>
      <w:r w:rsidRPr="006D08BB">
        <w:rPr>
          <w:rFonts w:ascii="楷体" w:eastAsia="楷体" w:hAnsi="楷体"/>
          <w:sz w:val="32"/>
          <w:szCs w:val="32"/>
        </w:rPr>
        <w:t>16.5亿元</w:t>
      </w:r>
      <w:r w:rsidRPr="006D08BB">
        <w:rPr>
          <w:rFonts w:ascii="楷体" w:eastAsia="楷体" w:hAnsi="楷体" w:hint="eastAsia"/>
          <w:sz w:val="32"/>
          <w:szCs w:val="32"/>
        </w:rPr>
        <w:t>调整为1</w:t>
      </w:r>
      <w:r>
        <w:rPr>
          <w:rFonts w:ascii="楷体" w:eastAsia="楷体" w:hAnsi="楷体" w:hint="eastAsia"/>
          <w:sz w:val="32"/>
          <w:szCs w:val="32"/>
        </w:rPr>
        <w:t>0.7</w:t>
      </w:r>
      <w:r w:rsidRPr="006D08BB">
        <w:rPr>
          <w:rFonts w:ascii="楷体" w:eastAsia="楷体" w:hAnsi="楷体" w:hint="eastAsia"/>
          <w:sz w:val="32"/>
          <w:szCs w:val="32"/>
        </w:rPr>
        <w:t>亿元，五年年均增速由15%调整为</w:t>
      </w:r>
      <w:r>
        <w:rPr>
          <w:rFonts w:ascii="楷体" w:eastAsia="楷体" w:hAnsi="楷体" w:hint="eastAsia"/>
          <w:sz w:val="32"/>
          <w:szCs w:val="32"/>
        </w:rPr>
        <w:t>5</w:t>
      </w:r>
      <w:r w:rsidRPr="006D08BB">
        <w:rPr>
          <w:rFonts w:ascii="楷体" w:eastAsia="楷体" w:hAnsi="楷体" w:hint="eastAsia"/>
          <w:sz w:val="32"/>
          <w:szCs w:val="32"/>
        </w:rPr>
        <w:t>%。</w:t>
      </w:r>
    </w:p>
    <w:p w:rsidR="003843B1" w:rsidRPr="00B901B9" w:rsidRDefault="003843B1" w:rsidP="00B901B9">
      <w:pPr>
        <w:rPr>
          <w:rFonts w:ascii="仿宋" w:eastAsia="仿宋" w:hAnsi="仿宋"/>
          <w:sz w:val="32"/>
          <w:szCs w:val="32"/>
        </w:rPr>
      </w:pPr>
      <w:r>
        <w:rPr>
          <w:rFonts w:ascii="楷体" w:eastAsia="楷体" w:hAnsi="楷体" w:hint="eastAsia"/>
          <w:sz w:val="32"/>
          <w:szCs w:val="32"/>
        </w:rPr>
        <w:lastRenderedPageBreak/>
        <w:t xml:space="preserve">   </w:t>
      </w:r>
      <w:r w:rsidRPr="006D08BB">
        <w:rPr>
          <w:rFonts w:ascii="楷体" w:eastAsia="楷体" w:hAnsi="楷体" w:hint="eastAsia"/>
          <w:sz w:val="32"/>
          <w:szCs w:val="32"/>
        </w:rPr>
        <w:t>（5）建议将社会消费品零售总额2020年规划目标值由80亿元调整为71.5亿元，五年年均增速由13%调整为10%</w:t>
      </w:r>
      <w:r>
        <w:rPr>
          <w:rFonts w:ascii="楷体" w:eastAsia="楷体" w:hAnsi="楷体" w:hint="eastAsia"/>
          <w:sz w:val="32"/>
          <w:szCs w:val="32"/>
        </w:rPr>
        <w:t xml:space="preserve">。       </w:t>
      </w:r>
    </w:p>
    <w:p w:rsidR="003843B1" w:rsidRDefault="003843B1" w:rsidP="003843B1">
      <w:pPr>
        <w:rPr>
          <w:rFonts w:ascii="仿宋" w:eastAsia="仿宋" w:hAnsi="仿宋"/>
          <w:b/>
          <w:sz w:val="32"/>
          <w:szCs w:val="32"/>
        </w:rPr>
      </w:pPr>
      <w:r>
        <w:rPr>
          <w:rFonts w:ascii="仿宋" w:eastAsia="仿宋" w:hAnsi="仿宋" w:hint="eastAsia"/>
          <w:sz w:val="32"/>
          <w:szCs w:val="32"/>
        </w:rPr>
        <w:t xml:space="preserve">  </w:t>
      </w:r>
      <w:r w:rsidRPr="006D08BB">
        <w:rPr>
          <w:rFonts w:ascii="楷体" w:eastAsia="楷体" w:hAnsi="楷体" w:hint="eastAsia"/>
          <w:sz w:val="32"/>
          <w:szCs w:val="32"/>
        </w:rPr>
        <w:t xml:space="preserve"> （6）建议将进出口总额2020年规划目标值由</w:t>
      </w:r>
      <w:r w:rsidRPr="006D08BB">
        <w:rPr>
          <w:rFonts w:ascii="楷体" w:eastAsia="楷体" w:hAnsi="楷体"/>
          <w:sz w:val="32"/>
          <w:szCs w:val="32"/>
        </w:rPr>
        <w:t>3.78亿美元</w:t>
      </w:r>
      <w:r w:rsidRPr="006D08BB">
        <w:rPr>
          <w:rFonts w:ascii="楷体" w:eastAsia="楷体" w:hAnsi="楷体" w:hint="eastAsia"/>
          <w:sz w:val="32"/>
          <w:szCs w:val="32"/>
        </w:rPr>
        <w:t>调整为 3亿美元,五年年均增速由8%调整为2.6%。</w:t>
      </w:r>
    </w:p>
    <w:p w:rsidR="003843B1" w:rsidRPr="00B901B9" w:rsidRDefault="003843B1" w:rsidP="00B901B9">
      <w:pPr>
        <w:rPr>
          <w:rFonts w:ascii="仿宋" w:eastAsia="仿宋" w:hAnsi="仿宋"/>
          <w:sz w:val="32"/>
          <w:szCs w:val="32"/>
        </w:rPr>
      </w:pPr>
      <w:r>
        <w:rPr>
          <w:rFonts w:ascii="仿宋" w:eastAsia="仿宋" w:hAnsi="仿宋" w:hint="eastAsia"/>
          <w:b/>
          <w:sz w:val="32"/>
          <w:szCs w:val="32"/>
        </w:rPr>
        <w:t xml:space="preserve">   </w:t>
      </w:r>
      <w:r w:rsidRPr="006D08BB">
        <w:rPr>
          <w:rFonts w:ascii="楷体" w:eastAsia="楷体" w:hAnsi="楷体" w:hint="eastAsia"/>
          <w:sz w:val="32"/>
          <w:szCs w:val="32"/>
        </w:rPr>
        <w:t>（7）建议将城镇化水平2020年规划目标值由53%调整为47 .23</w:t>
      </w:r>
      <w:r w:rsidRPr="006D08BB">
        <w:rPr>
          <w:rFonts w:ascii="楷体" w:eastAsia="楷体" w:hAnsi="楷体" w:hint="eastAsia"/>
          <w:sz w:val="32"/>
          <w:szCs w:val="32"/>
          <w:u w:val="single"/>
        </w:rPr>
        <w:t xml:space="preserve"> </w:t>
      </w:r>
      <w:r w:rsidRPr="006D08BB">
        <w:rPr>
          <w:rFonts w:ascii="楷体" w:eastAsia="楷体" w:hAnsi="楷体" w:hint="eastAsia"/>
          <w:sz w:val="32"/>
          <w:szCs w:val="32"/>
        </w:rPr>
        <w:t>%。</w:t>
      </w:r>
    </w:p>
    <w:p w:rsidR="003843B1" w:rsidRPr="00154F5A" w:rsidRDefault="003843B1" w:rsidP="003843B1">
      <w:pPr>
        <w:spacing w:line="574" w:lineRule="exact"/>
        <w:ind w:firstLineChars="200" w:firstLine="640"/>
        <w:rPr>
          <w:rFonts w:ascii="仿宋_GB2312" w:eastAsia="仿宋_GB2312"/>
          <w:sz w:val="32"/>
          <w:szCs w:val="32"/>
        </w:rPr>
      </w:pPr>
      <w:r w:rsidRPr="006D08BB">
        <w:rPr>
          <w:rFonts w:ascii="楷体" w:eastAsia="楷体" w:hAnsi="楷体" w:hint="eastAsia"/>
          <w:sz w:val="32"/>
          <w:szCs w:val="32"/>
        </w:rPr>
        <w:t>(8)建议将</w:t>
      </w:r>
      <w:r w:rsidRPr="006D08BB">
        <w:rPr>
          <w:rFonts w:ascii="楷体" w:eastAsia="楷体" w:hAnsi="楷体" w:hint="eastAsia"/>
          <w:sz w:val="32"/>
        </w:rPr>
        <w:t>森林覆盖率2020年规划目标值由80%调整为77.97%。</w:t>
      </w:r>
    </w:p>
    <w:p w:rsidR="0063398B" w:rsidRPr="00154F5A" w:rsidRDefault="0063398B" w:rsidP="00CB7727">
      <w:pPr>
        <w:spacing w:line="574" w:lineRule="exact"/>
        <w:ind w:firstLineChars="200" w:firstLine="640"/>
        <w:rPr>
          <w:rFonts w:ascii="仿宋_GB2312" w:eastAsia="仿宋_GB2312"/>
          <w:sz w:val="32"/>
          <w:szCs w:val="32"/>
        </w:rPr>
      </w:pPr>
    </w:p>
    <w:p w:rsidR="0063398B" w:rsidRPr="00154F5A" w:rsidRDefault="0063398B" w:rsidP="00CB7727">
      <w:pPr>
        <w:spacing w:line="574" w:lineRule="exact"/>
        <w:ind w:firstLineChars="200" w:firstLine="640"/>
        <w:rPr>
          <w:rFonts w:ascii="仿宋_GB2312" w:eastAsia="仿宋_GB2312"/>
          <w:sz w:val="32"/>
          <w:szCs w:val="32"/>
        </w:rPr>
      </w:pPr>
    </w:p>
    <w:p w:rsidR="0063398B" w:rsidRPr="00154F5A" w:rsidRDefault="0063398B" w:rsidP="00CB7727">
      <w:pPr>
        <w:spacing w:line="574" w:lineRule="exact"/>
        <w:ind w:firstLineChars="200" w:firstLine="640"/>
        <w:rPr>
          <w:rFonts w:ascii="仿宋_GB2312" w:eastAsia="仿宋_GB2312"/>
          <w:sz w:val="32"/>
          <w:szCs w:val="32"/>
        </w:rPr>
        <w:sectPr w:rsidR="0063398B" w:rsidRPr="00154F5A" w:rsidSect="00B8468D">
          <w:footerReference w:type="default" r:id="rId7"/>
          <w:pgSz w:w="11906" w:h="16838"/>
          <w:pgMar w:top="1440" w:right="1800" w:bottom="1440" w:left="1800" w:header="851" w:footer="992" w:gutter="0"/>
          <w:cols w:space="425"/>
          <w:docGrid w:type="lines" w:linePitch="312"/>
        </w:sectPr>
      </w:pPr>
    </w:p>
    <w:p w:rsidR="00B1552E" w:rsidRPr="00154F5A" w:rsidRDefault="00B1552E" w:rsidP="00B1552E">
      <w:pPr>
        <w:jc w:val="left"/>
        <w:rPr>
          <w:rFonts w:ascii="文星黑体" w:eastAsia="文星黑体" w:hAnsi="黑体" w:cs="黑体"/>
          <w:bCs/>
          <w:szCs w:val="32"/>
        </w:rPr>
      </w:pPr>
      <w:r w:rsidRPr="00154F5A">
        <w:rPr>
          <w:rFonts w:ascii="文星黑体" w:eastAsia="文星黑体" w:hAnsi="黑体" w:cs="黑体" w:hint="eastAsia"/>
          <w:bCs/>
          <w:szCs w:val="32"/>
        </w:rPr>
        <w:lastRenderedPageBreak/>
        <w:t>附表：</w:t>
      </w:r>
    </w:p>
    <w:p w:rsidR="00B1552E" w:rsidRPr="00154F5A" w:rsidRDefault="00B1552E" w:rsidP="00B1552E">
      <w:pPr>
        <w:jc w:val="center"/>
        <w:rPr>
          <w:rFonts w:ascii="文星黑体" w:eastAsia="文星黑体" w:hAnsi="黑体" w:cs="黑体"/>
          <w:bCs/>
          <w:szCs w:val="32"/>
        </w:rPr>
      </w:pPr>
      <w:bookmarkStart w:id="26" w:name="_Toc8136_WPSOffice_Level1"/>
      <w:bookmarkStart w:id="27" w:name="_Toc26978_WPSOffice_Level1"/>
      <w:bookmarkStart w:id="28" w:name="_Toc18382_WPSOffice_Level1"/>
      <w:r w:rsidRPr="00154F5A">
        <w:rPr>
          <w:rFonts w:ascii="文星黑体" w:eastAsia="文星黑体" w:hAnsi="黑体" w:cs="黑体" w:hint="eastAsia"/>
          <w:bCs/>
          <w:szCs w:val="32"/>
        </w:rPr>
        <w:t>大埔县“十三五”规划纲要主要指标中期完成情况表</w:t>
      </w:r>
      <w:bookmarkEnd w:id="26"/>
      <w:bookmarkEnd w:id="27"/>
      <w:bookmarkEnd w:id="28"/>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537"/>
        <w:gridCol w:w="1843"/>
        <w:gridCol w:w="709"/>
        <w:gridCol w:w="708"/>
        <w:gridCol w:w="851"/>
        <w:gridCol w:w="709"/>
        <w:gridCol w:w="708"/>
        <w:gridCol w:w="709"/>
        <w:gridCol w:w="709"/>
        <w:gridCol w:w="876"/>
        <w:gridCol w:w="723"/>
        <w:gridCol w:w="811"/>
        <w:gridCol w:w="850"/>
        <w:gridCol w:w="992"/>
        <w:gridCol w:w="976"/>
        <w:gridCol w:w="616"/>
      </w:tblGrid>
      <w:tr w:rsidR="005B010E" w:rsidRPr="00154F5A" w:rsidTr="004B7B41">
        <w:trPr>
          <w:trHeight w:val="290"/>
          <w:tblHeader/>
        </w:trPr>
        <w:tc>
          <w:tcPr>
            <w:tcW w:w="749" w:type="dxa"/>
            <w:vMerge w:val="restart"/>
            <w:shd w:val="clear" w:color="auto" w:fill="auto"/>
            <w:vAlign w:val="center"/>
            <w:hideMark/>
          </w:tcPr>
          <w:p w:rsidR="005B010E" w:rsidRPr="00154F5A" w:rsidRDefault="005B010E" w:rsidP="004B7B41">
            <w:pPr>
              <w:widowControl/>
              <w:jc w:val="center"/>
              <w:rPr>
                <w:kern w:val="0"/>
                <w:szCs w:val="21"/>
              </w:rPr>
            </w:pPr>
            <w:r w:rsidRPr="00154F5A">
              <w:rPr>
                <w:rFonts w:hAnsi="宋体"/>
                <w:kern w:val="0"/>
                <w:szCs w:val="21"/>
              </w:rPr>
              <w:t>类别</w:t>
            </w:r>
          </w:p>
        </w:tc>
        <w:tc>
          <w:tcPr>
            <w:tcW w:w="537" w:type="dxa"/>
            <w:vMerge w:val="restart"/>
            <w:shd w:val="clear" w:color="auto" w:fill="auto"/>
            <w:vAlign w:val="center"/>
            <w:hideMark/>
          </w:tcPr>
          <w:p w:rsidR="005B010E" w:rsidRPr="00154F5A" w:rsidRDefault="005B010E" w:rsidP="004B7B41">
            <w:pPr>
              <w:widowControl/>
              <w:jc w:val="center"/>
              <w:rPr>
                <w:kern w:val="0"/>
                <w:szCs w:val="21"/>
              </w:rPr>
            </w:pPr>
            <w:r w:rsidRPr="00154F5A">
              <w:rPr>
                <w:rFonts w:hAnsi="宋体"/>
                <w:kern w:val="0"/>
                <w:szCs w:val="21"/>
              </w:rPr>
              <w:t>序号</w:t>
            </w:r>
          </w:p>
        </w:tc>
        <w:tc>
          <w:tcPr>
            <w:tcW w:w="1843" w:type="dxa"/>
            <w:vMerge w:val="restart"/>
            <w:shd w:val="clear" w:color="auto" w:fill="auto"/>
            <w:vAlign w:val="center"/>
            <w:hideMark/>
          </w:tcPr>
          <w:p w:rsidR="005B010E" w:rsidRPr="00154F5A" w:rsidRDefault="005B010E" w:rsidP="004B7B41">
            <w:pPr>
              <w:widowControl/>
              <w:jc w:val="center"/>
              <w:rPr>
                <w:kern w:val="0"/>
                <w:szCs w:val="21"/>
              </w:rPr>
            </w:pPr>
            <w:r w:rsidRPr="00154F5A">
              <w:rPr>
                <w:rFonts w:hAnsi="宋体"/>
                <w:kern w:val="0"/>
                <w:szCs w:val="21"/>
              </w:rPr>
              <w:t>指标</w:t>
            </w:r>
          </w:p>
        </w:tc>
        <w:tc>
          <w:tcPr>
            <w:tcW w:w="709" w:type="dxa"/>
            <w:shd w:val="clear" w:color="auto" w:fill="auto"/>
            <w:vAlign w:val="center"/>
            <w:hideMark/>
          </w:tcPr>
          <w:p w:rsidR="005B010E" w:rsidRPr="00154F5A" w:rsidRDefault="005B010E" w:rsidP="004B7B41">
            <w:pPr>
              <w:widowControl/>
              <w:jc w:val="center"/>
              <w:rPr>
                <w:kern w:val="0"/>
                <w:szCs w:val="21"/>
              </w:rPr>
            </w:pPr>
            <w:r w:rsidRPr="00154F5A">
              <w:rPr>
                <w:rFonts w:hAnsi="宋体"/>
                <w:kern w:val="0"/>
                <w:szCs w:val="21"/>
              </w:rPr>
              <w:t>单位</w:t>
            </w:r>
          </w:p>
        </w:tc>
        <w:tc>
          <w:tcPr>
            <w:tcW w:w="2268" w:type="dxa"/>
            <w:gridSpan w:val="3"/>
            <w:shd w:val="clear" w:color="auto" w:fill="auto"/>
            <w:vAlign w:val="center"/>
            <w:hideMark/>
          </w:tcPr>
          <w:p w:rsidR="005B010E" w:rsidRPr="00154F5A" w:rsidRDefault="005B010E" w:rsidP="004B7B41">
            <w:pPr>
              <w:widowControl/>
              <w:jc w:val="center"/>
              <w:rPr>
                <w:kern w:val="0"/>
                <w:szCs w:val="21"/>
              </w:rPr>
            </w:pPr>
            <w:r w:rsidRPr="00154F5A">
              <w:rPr>
                <w:kern w:val="0"/>
                <w:szCs w:val="21"/>
              </w:rPr>
              <w:t>“</w:t>
            </w:r>
            <w:r w:rsidRPr="00154F5A">
              <w:rPr>
                <w:rFonts w:hAnsi="宋体"/>
                <w:kern w:val="0"/>
                <w:szCs w:val="21"/>
              </w:rPr>
              <w:t>十三五</w:t>
            </w:r>
            <w:r w:rsidRPr="00154F5A">
              <w:rPr>
                <w:kern w:val="0"/>
                <w:szCs w:val="21"/>
              </w:rPr>
              <w:t>”</w:t>
            </w:r>
            <w:r w:rsidRPr="00154F5A">
              <w:rPr>
                <w:rFonts w:hAnsi="宋体"/>
                <w:kern w:val="0"/>
                <w:szCs w:val="21"/>
              </w:rPr>
              <w:t>目标</w:t>
            </w:r>
          </w:p>
        </w:tc>
        <w:tc>
          <w:tcPr>
            <w:tcW w:w="4536" w:type="dxa"/>
            <w:gridSpan w:val="6"/>
            <w:shd w:val="clear" w:color="auto" w:fill="auto"/>
            <w:vAlign w:val="center"/>
            <w:hideMark/>
          </w:tcPr>
          <w:p w:rsidR="005B010E" w:rsidRPr="00154F5A" w:rsidRDefault="005B010E" w:rsidP="004B7B41">
            <w:pPr>
              <w:widowControl/>
              <w:jc w:val="center"/>
              <w:rPr>
                <w:kern w:val="0"/>
                <w:szCs w:val="21"/>
              </w:rPr>
            </w:pPr>
            <w:r w:rsidRPr="00154F5A">
              <w:rPr>
                <w:kern w:val="0"/>
                <w:szCs w:val="21"/>
              </w:rPr>
              <w:t>“</w:t>
            </w:r>
            <w:r w:rsidRPr="00154F5A">
              <w:rPr>
                <w:rFonts w:hAnsi="宋体"/>
                <w:kern w:val="0"/>
                <w:szCs w:val="21"/>
              </w:rPr>
              <w:t>十三五</w:t>
            </w:r>
            <w:r w:rsidRPr="00154F5A">
              <w:rPr>
                <w:kern w:val="0"/>
                <w:szCs w:val="21"/>
              </w:rPr>
              <w:t>”</w:t>
            </w:r>
            <w:r w:rsidRPr="00154F5A">
              <w:rPr>
                <w:rFonts w:hAnsi="宋体"/>
                <w:kern w:val="0"/>
                <w:szCs w:val="21"/>
              </w:rPr>
              <w:t>中期实际完成数</w:t>
            </w:r>
          </w:p>
        </w:tc>
        <w:tc>
          <w:tcPr>
            <w:tcW w:w="2818" w:type="dxa"/>
            <w:gridSpan w:val="3"/>
            <w:shd w:val="clear" w:color="auto" w:fill="auto"/>
            <w:vAlign w:val="center"/>
            <w:hideMark/>
          </w:tcPr>
          <w:p w:rsidR="005B010E" w:rsidRPr="00154F5A" w:rsidRDefault="005B010E" w:rsidP="004B7B41">
            <w:pPr>
              <w:widowControl/>
              <w:jc w:val="center"/>
              <w:rPr>
                <w:kern w:val="0"/>
                <w:szCs w:val="21"/>
              </w:rPr>
            </w:pPr>
            <w:r w:rsidRPr="00154F5A">
              <w:rPr>
                <w:rFonts w:hAnsi="宋体"/>
                <w:kern w:val="0"/>
                <w:szCs w:val="21"/>
              </w:rPr>
              <w:t>实现程度</w:t>
            </w:r>
          </w:p>
        </w:tc>
        <w:tc>
          <w:tcPr>
            <w:tcW w:w="616" w:type="dxa"/>
            <w:vMerge w:val="restart"/>
            <w:shd w:val="clear" w:color="auto" w:fill="auto"/>
            <w:vAlign w:val="center"/>
            <w:hideMark/>
          </w:tcPr>
          <w:p w:rsidR="005B010E" w:rsidRPr="00154F5A" w:rsidRDefault="005B010E" w:rsidP="004B7B41">
            <w:pPr>
              <w:widowControl/>
              <w:jc w:val="center"/>
              <w:rPr>
                <w:kern w:val="0"/>
                <w:szCs w:val="21"/>
              </w:rPr>
            </w:pPr>
            <w:r w:rsidRPr="00154F5A">
              <w:rPr>
                <w:rFonts w:hAnsi="宋体"/>
                <w:kern w:val="0"/>
                <w:szCs w:val="21"/>
              </w:rPr>
              <w:t>属性</w:t>
            </w:r>
          </w:p>
        </w:tc>
      </w:tr>
      <w:tr w:rsidR="00367AB3" w:rsidRPr="00154F5A" w:rsidTr="004B7B41">
        <w:trPr>
          <w:trHeight w:val="840"/>
          <w:tblHeader/>
        </w:trPr>
        <w:tc>
          <w:tcPr>
            <w:tcW w:w="749" w:type="dxa"/>
            <w:vMerge/>
            <w:vAlign w:val="center"/>
            <w:hideMark/>
          </w:tcPr>
          <w:p w:rsidR="005B010E" w:rsidRPr="00154F5A" w:rsidRDefault="005B010E" w:rsidP="004B7B41">
            <w:pPr>
              <w:widowControl/>
              <w:jc w:val="center"/>
              <w:rPr>
                <w:kern w:val="0"/>
                <w:szCs w:val="21"/>
              </w:rPr>
            </w:pPr>
          </w:p>
        </w:tc>
        <w:tc>
          <w:tcPr>
            <w:tcW w:w="537" w:type="dxa"/>
            <w:vMerge/>
            <w:vAlign w:val="center"/>
            <w:hideMark/>
          </w:tcPr>
          <w:p w:rsidR="005B010E" w:rsidRPr="00154F5A" w:rsidRDefault="005B010E" w:rsidP="004B7B41">
            <w:pPr>
              <w:widowControl/>
              <w:jc w:val="center"/>
              <w:rPr>
                <w:kern w:val="0"/>
                <w:szCs w:val="21"/>
              </w:rPr>
            </w:pPr>
          </w:p>
        </w:tc>
        <w:tc>
          <w:tcPr>
            <w:tcW w:w="1843" w:type="dxa"/>
            <w:vMerge/>
            <w:vAlign w:val="center"/>
            <w:hideMark/>
          </w:tcPr>
          <w:p w:rsidR="005B010E" w:rsidRPr="00154F5A" w:rsidRDefault="005B010E" w:rsidP="004B7B41">
            <w:pPr>
              <w:widowControl/>
              <w:jc w:val="center"/>
              <w:rPr>
                <w:kern w:val="0"/>
                <w:szCs w:val="21"/>
              </w:rPr>
            </w:pPr>
          </w:p>
        </w:tc>
        <w:tc>
          <w:tcPr>
            <w:tcW w:w="709" w:type="dxa"/>
            <w:shd w:val="clear" w:color="auto" w:fill="auto"/>
            <w:vAlign w:val="center"/>
            <w:hideMark/>
          </w:tcPr>
          <w:p w:rsidR="005B010E" w:rsidRPr="00154F5A" w:rsidRDefault="005B010E" w:rsidP="004B7B41">
            <w:pPr>
              <w:widowControl/>
              <w:jc w:val="center"/>
              <w:rPr>
                <w:rFonts w:eastAsia="等线"/>
                <w:kern w:val="0"/>
                <w:szCs w:val="21"/>
              </w:rPr>
            </w:pPr>
          </w:p>
        </w:tc>
        <w:tc>
          <w:tcPr>
            <w:tcW w:w="708" w:type="dxa"/>
            <w:shd w:val="clear" w:color="auto" w:fill="auto"/>
            <w:vAlign w:val="center"/>
            <w:hideMark/>
          </w:tcPr>
          <w:p w:rsidR="005B010E" w:rsidRPr="00154F5A" w:rsidRDefault="005B010E" w:rsidP="004B7B41">
            <w:pPr>
              <w:widowControl/>
              <w:jc w:val="center"/>
              <w:rPr>
                <w:kern w:val="0"/>
                <w:szCs w:val="21"/>
              </w:rPr>
            </w:pPr>
            <w:r w:rsidRPr="00154F5A">
              <w:rPr>
                <w:kern w:val="0"/>
                <w:szCs w:val="21"/>
              </w:rPr>
              <w:t>2015</w:t>
            </w:r>
            <w:r w:rsidRPr="00154F5A">
              <w:rPr>
                <w:rFonts w:hAnsi="宋体"/>
                <w:kern w:val="0"/>
                <w:szCs w:val="21"/>
              </w:rPr>
              <w:t>年</w:t>
            </w:r>
          </w:p>
        </w:tc>
        <w:tc>
          <w:tcPr>
            <w:tcW w:w="851" w:type="dxa"/>
            <w:shd w:val="clear" w:color="auto" w:fill="auto"/>
            <w:vAlign w:val="center"/>
            <w:hideMark/>
          </w:tcPr>
          <w:p w:rsidR="005B010E" w:rsidRPr="00154F5A" w:rsidRDefault="005B010E" w:rsidP="004B7B41">
            <w:pPr>
              <w:widowControl/>
              <w:jc w:val="center"/>
              <w:rPr>
                <w:kern w:val="0"/>
                <w:szCs w:val="21"/>
              </w:rPr>
            </w:pPr>
            <w:r w:rsidRPr="00154F5A">
              <w:rPr>
                <w:rFonts w:hAnsi="宋体"/>
                <w:kern w:val="0"/>
                <w:szCs w:val="21"/>
              </w:rPr>
              <w:t>目标数</w:t>
            </w:r>
          </w:p>
        </w:tc>
        <w:tc>
          <w:tcPr>
            <w:tcW w:w="709" w:type="dxa"/>
            <w:shd w:val="clear" w:color="auto" w:fill="auto"/>
            <w:vAlign w:val="center"/>
            <w:hideMark/>
          </w:tcPr>
          <w:p w:rsidR="005B010E" w:rsidRPr="00154F5A" w:rsidRDefault="005B010E" w:rsidP="004B7B41">
            <w:pPr>
              <w:widowControl/>
              <w:jc w:val="center"/>
              <w:rPr>
                <w:kern w:val="0"/>
                <w:szCs w:val="21"/>
              </w:rPr>
            </w:pPr>
            <w:r w:rsidRPr="00154F5A">
              <w:rPr>
                <w:rFonts w:hAnsi="宋体"/>
                <w:kern w:val="0"/>
                <w:szCs w:val="21"/>
              </w:rPr>
              <w:t>年均增长</w:t>
            </w:r>
            <w:r w:rsidRPr="00154F5A">
              <w:rPr>
                <w:kern w:val="0"/>
                <w:szCs w:val="21"/>
              </w:rPr>
              <w:t>%</w:t>
            </w:r>
          </w:p>
        </w:tc>
        <w:tc>
          <w:tcPr>
            <w:tcW w:w="708" w:type="dxa"/>
            <w:shd w:val="clear" w:color="auto" w:fill="auto"/>
            <w:vAlign w:val="center"/>
            <w:hideMark/>
          </w:tcPr>
          <w:p w:rsidR="005B010E" w:rsidRPr="00154F5A" w:rsidRDefault="005B010E" w:rsidP="004B7B41">
            <w:pPr>
              <w:widowControl/>
              <w:jc w:val="center"/>
              <w:rPr>
                <w:kern w:val="0"/>
                <w:szCs w:val="21"/>
              </w:rPr>
            </w:pPr>
            <w:r w:rsidRPr="00154F5A">
              <w:rPr>
                <w:kern w:val="0"/>
                <w:szCs w:val="21"/>
              </w:rPr>
              <w:t>2015</w:t>
            </w:r>
            <w:r w:rsidRPr="00154F5A">
              <w:rPr>
                <w:rFonts w:hAnsi="宋体"/>
                <w:kern w:val="0"/>
                <w:szCs w:val="21"/>
              </w:rPr>
              <w:t>年</w:t>
            </w:r>
          </w:p>
        </w:tc>
        <w:tc>
          <w:tcPr>
            <w:tcW w:w="709" w:type="dxa"/>
            <w:shd w:val="clear" w:color="auto" w:fill="auto"/>
            <w:vAlign w:val="center"/>
            <w:hideMark/>
          </w:tcPr>
          <w:p w:rsidR="005B010E" w:rsidRPr="00154F5A" w:rsidRDefault="005B010E" w:rsidP="004B7B41">
            <w:pPr>
              <w:widowControl/>
              <w:jc w:val="center"/>
              <w:rPr>
                <w:kern w:val="0"/>
                <w:szCs w:val="21"/>
              </w:rPr>
            </w:pPr>
            <w:r w:rsidRPr="00154F5A">
              <w:rPr>
                <w:kern w:val="0"/>
                <w:szCs w:val="21"/>
              </w:rPr>
              <w:t>2016</w:t>
            </w:r>
            <w:r w:rsidRPr="00154F5A">
              <w:rPr>
                <w:rFonts w:hAnsi="宋体"/>
                <w:kern w:val="0"/>
                <w:szCs w:val="21"/>
              </w:rPr>
              <w:t>年</w:t>
            </w:r>
          </w:p>
        </w:tc>
        <w:tc>
          <w:tcPr>
            <w:tcW w:w="709" w:type="dxa"/>
            <w:shd w:val="clear" w:color="auto" w:fill="auto"/>
            <w:vAlign w:val="center"/>
            <w:hideMark/>
          </w:tcPr>
          <w:p w:rsidR="005B010E" w:rsidRPr="00154F5A" w:rsidRDefault="005B010E" w:rsidP="004B7B41">
            <w:pPr>
              <w:widowControl/>
              <w:jc w:val="center"/>
              <w:rPr>
                <w:kern w:val="0"/>
                <w:szCs w:val="21"/>
              </w:rPr>
            </w:pPr>
            <w:r w:rsidRPr="00154F5A">
              <w:rPr>
                <w:kern w:val="0"/>
                <w:szCs w:val="21"/>
              </w:rPr>
              <w:t>2017</w:t>
            </w:r>
            <w:r w:rsidRPr="00154F5A">
              <w:rPr>
                <w:rFonts w:hAnsi="宋体"/>
                <w:kern w:val="0"/>
                <w:szCs w:val="21"/>
              </w:rPr>
              <w:t>年</w:t>
            </w:r>
          </w:p>
        </w:tc>
        <w:tc>
          <w:tcPr>
            <w:tcW w:w="876" w:type="dxa"/>
            <w:shd w:val="clear" w:color="auto" w:fill="auto"/>
            <w:vAlign w:val="center"/>
            <w:hideMark/>
          </w:tcPr>
          <w:p w:rsidR="005B010E" w:rsidRPr="00154F5A" w:rsidRDefault="005B010E" w:rsidP="004B7B41">
            <w:pPr>
              <w:widowControl/>
              <w:jc w:val="center"/>
              <w:rPr>
                <w:kern w:val="0"/>
                <w:szCs w:val="21"/>
              </w:rPr>
            </w:pPr>
            <w:r w:rsidRPr="00154F5A">
              <w:rPr>
                <w:kern w:val="0"/>
                <w:szCs w:val="21"/>
              </w:rPr>
              <w:t>2018</w:t>
            </w:r>
            <w:r w:rsidRPr="00154F5A">
              <w:rPr>
                <w:rFonts w:hAnsi="宋体"/>
                <w:kern w:val="0"/>
                <w:szCs w:val="21"/>
              </w:rPr>
              <w:t>年上半年</w:t>
            </w:r>
          </w:p>
        </w:tc>
        <w:tc>
          <w:tcPr>
            <w:tcW w:w="723" w:type="dxa"/>
            <w:shd w:val="clear" w:color="auto" w:fill="auto"/>
            <w:vAlign w:val="center"/>
            <w:hideMark/>
          </w:tcPr>
          <w:p w:rsidR="005B010E" w:rsidRPr="00154F5A" w:rsidRDefault="005B010E" w:rsidP="004B7B41">
            <w:pPr>
              <w:widowControl/>
              <w:jc w:val="center"/>
              <w:rPr>
                <w:kern w:val="0"/>
                <w:szCs w:val="21"/>
              </w:rPr>
            </w:pPr>
            <w:r w:rsidRPr="00154F5A">
              <w:rPr>
                <w:kern w:val="0"/>
                <w:szCs w:val="21"/>
              </w:rPr>
              <w:t>2016</w:t>
            </w:r>
            <w:r w:rsidRPr="00154F5A">
              <w:rPr>
                <w:rFonts w:hAnsi="宋体"/>
                <w:kern w:val="0"/>
                <w:szCs w:val="21"/>
              </w:rPr>
              <w:t>－</w:t>
            </w:r>
            <w:r w:rsidRPr="00154F5A">
              <w:rPr>
                <w:kern w:val="0"/>
                <w:szCs w:val="21"/>
              </w:rPr>
              <w:t>2017</w:t>
            </w:r>
            <w:r w:rsidRPr="00154F5A">
              <w:rPr>
                <w:rFonts w:hAnsi="宋体"/>
                <w:kern w:val="0"/>
                <w:szCs w:val="21"/>
              </w:rPr>
              <w:t>年均增长</w:t>
            </w:r>
          </w:p>
        </w:tc>
        <w:tc>
          <w:tcPr>
            <w:tcW w:w="811" w:type="dxa"/>
            <w:shd w:val="clear" w:color="auto" w:fill="auto"/>
            <w:vAlign w:val="center"/>
            <w:hideMark/>
          </w:tcPr>
          <w:p w:rsidR="005B010E" w:rsidRPr="00154F5A" w:rsidRDefault="005B010E" w:rsidP="004B7B41">
            <w:pPr>
              <w:widowControl/>
              <w:jc w:val="center"/>
              <w:rPr>
                <w:kern w:val="0"/>
                <w:szCs w:val="21"/>
              </w:rPr>
            </w:pPr>
            <w:r w:rsidRPr="00154F5A">
              <w:rPr>
                <w:kern w:val="0"/>
                <w:szCs w:val="21"/>
              </w:rPr>
              <w:t>2016</w:t>
            </w:r>
            <w:r w:rsidRPr="00154F5A">
              <w:rPr>
                <w:rFonts w:hAnsi="宋体"/>
                <w:kern w:val="0"/>
                <w:szCs w:val="21"/>
              </w:rPr>
              <w:t>－</w:t>
            </w:r>
            <w:r w:rsidRPr="00154F5A">
              <w:rPr>
                <w:kern w:val="0"/>
                <w:szCs w:val="21"/>
              </w:rPr>
              <w:t>2018</w:t>
            </w:r>
            <w:r w:rsidRPr="00154F5A">
              <w:rPr>
                <w:rFonts w:hAnsi="宋体"/>
                <w:kern w:val="0"/>
                <w:szCs w:val="21"/>
              </w:rPr>
              <w:t>上半年增长</w:t>
            </w:r>
          </w:p>
        </w:tc>
        <w:tc>
          <w:tcPr>
            <w:tcW w:w="850" w:type="dxa"/>
            <w:shd w:val="clear" w:color="auto" w:fill="auto"/>
            <w:vAlign w:val="center"/>
            <w:hideMark/>
          </w:tcPr>
          <w:p w:rsidR="005B010E" w:rsidRPr="00154F5A" w:rsidRDefault="005B010E" w:rsidP="004B7B41">
            <w:pPr>
              <w:widowControl/>
              <w:jc w:val="center"/>
              <w:rPr>
                <w:kern w:val="0"/>
                <w:szCs w:val="21"/>
              </w:rPr>
            </w:pPr>
            <w:r w:rsidRPr="00154F5A">
              <w:rPr>
                <w:rFonts w:hAnsi="宋体"/>
                <w:kern w:val="0"/>
                <w:szCs w:val="21"/>
              </w:rPr>
              <w:t>到</w:t>
            </w:r>
            <w:r w:rsidRPr="00154F5A">
              <w:rPr>
                <w:kern w:val="0"/>
                <w:szCs w:val="21"/>
              </w:rPr>
              <w:t>2017</w:t>
            </w:r>
            <w:r w:rsidRPr="00154F5A">
              <w:rPr>
                <w:rFonts w:hAnsi="宋体"/>
                <w:kern w:val="0"/>
                <w:szCs w:val="21"/>
              </w:rPr>
              <w:t>年底实现百分比</w:t>
            </w:r>
          </w:p>
        </w:tc>
        <w:tc>
          <w:tcPr>
            <w:tcW w:w="992" w:type="dxa"/>
            <w:shd w:val="clear" w:color="auto" w:fill="auto"/>
            <w:vAlign w:val="center"/>
            <w:hideMark/>
          </w:tcPr>
          <w:p w:rsidR="005B010E" w:rsidRPr="00154F5A" w:rsidRDefault="005B010E" w:rsidP="004B7B41">
            <w:pPr>
              <w:widowControl/>
              <w:jc w:val="center"/>
              <w:rPr>
                <w:kern w:val="0"/>
                <w:szCs w:val="21"/>
              </w:rPr>
            </w:pPr>
            <w:r w:rsidRPr="00154F5A">
              <w:rPr>
                <w:rFonts w:hAnsi="宋体"/>
                <w:kern w:val="0"/>
                <w:szCs w:val="21"/>
              </w:rPr>
              <w:t>是否达到均衡进度</w:t>
            </w:r>
          </w:p>
        </w:tc>
        <w:tc>
          <w:tcPr>
            <w:tcW w:w="976" w:type="dxa"/>
            <w:shd w:val="clear" w:color="auto" w:fill="auto"/>
            <w:vAlign w:val="center"/>
            <w:hideMark/>
          </w:tcPr>
          <w:p w:rsidR="005B010E" w:rsidRPr="00154F5A" w:rsidRDefault="005B010E" w:rsidP="004B7B41">
            <w:pPr>
              <w:widowControl/>
              <w:jc w:val="center"/>
              <w:rPr>
                <w:kern w:val="0"/>
                <w:szCs w:val="21"/>
              </w:rPr>
            </w:pPr>
            <w:r w:rsidRPr="00154F5A">
              <w:rPr>
                <w:rFonts w:hAnsi="宋体"/>
                <w:kern w:val="0"/>
                <w:szCs w:val="21"/>
              </w:rPr>
              <w:t>预计到</w:t>
            </w:r>
            <w:r w:rsidRPr="00154F5A">
              <w:rPr>
                <w:kern w:val="0"/>
                <w:szCs w:val="21"/>
              </w:rPr>
              <w:t>2020</w:t>
            </w:r>
            <w:r w:rsidRPr="00154F5A">
              <w:rPr>
                <w:rFonts w:hAnsi="宋体"/>
                <w:kern w:val="0"/>
                <w:szCs w:val="21"/>
              </w:rPr>
              <w:t>年底完成情况</w:t>
            </w:r>
          </w:p>
        </w:tc>
        <w:tc>
          <w:tcPr>
            <w:tcW w:w="616" w:type="dxa"/>
            <w:vMerge/>
            <w:vAlign w:val="center"/>
            <w:hideMark/>
          </w:tcPr>
          <w:p w:rsidR="005B010E" w:rsidRPr="00154F5A" w:rsidRDefault="005B010E" w:rsidP="004B7B41">
            <w:pPr>
              <w:widowControl/>
              <w:jc w:val="center"/>
              <w:rPr>
                <w:kern w:val="0"/>
                <w:szCs w:val="21"/>
              </w:rPr>
            </w:pPr>
          </w:p>
        </w:tc>
      </w:tr>
      <w:tr w:rsidR="00367AB3" w:rsidRPr="00154F5A" w:rsidTr="004B7B41">
        <w:trPr>
          <w:trHeight w:val="300"/>
        </w:trPr>
        <w:tc>
          <w:tcPr>
            <w:tcW w:w="749" w:type="dxa"/>
            <w:vMerge w:val="restart"/>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经济发展</w:t>
            </w: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GDP</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亿元</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71.81</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126</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12</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70.1</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79.2</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80.5</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40.9</w:t>
            </w:r>
          </w:p>
        </w:tc>
        <w:tc>
          <w:tcPr>
            <w:tcW w:w="723" w:type="dxa"/>
            <w:shd w:val="clear" w:color="auto" w:fill="auto"/>
            <w:noWrap/>
            <w:vAlign w:val="center"/>
            <w:hideMark/>
          </w:tcPr>
          <w:p w:rsidR="005B010E" w:rsidRPr="00154F5A" w:rsidRDefault="00F205C2" w:rsidP="004B7B41">
            <w:pPr>
              <w:widowControl/>
              <w:jc w:val="center"/>
              <w:rPr>
                <w:kern w:val="0"/>
                <w:szCs w:val="21"/>
              </w:rPr>
            </w:pPr>
            <w:r>
              <w:rPr>
                <w:rFonts w:hint="eastAsia"/>
                <w:kern w:val="0"/>
                <w:szCs w:val="21"/>
              </w:rPr>
              <w:t>6.7</w:t>
            </w: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19.2%</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否</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难以完成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预期性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人均</w:t>
            </w:r>
            <w:r w:rsidRPr="00154F5A">
              <w:rPr>
                <w:kern w:val="0"/>
                <w:szCs w:val="21"/>
              </w:rPr>
              <w:t>GDP</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元</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18852</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29300</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11.3</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18416</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20707</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20989</w:t>
            </w:r>
          </w:p>
        </w:tc>
        <w:tc>
          <w:tcPr>
            <w:tcW w:w="876"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23" w:type="dxa"/>
            <w:shd w:val="clear" w:color="auto" w:fill="auto"/>
            <w:noWrap/>
            <w:vAlign w:val="center"/>
            <w:hideMark/>
          </w:tcPr>
          <w:p w:rsidR="005B010E" w:rsidRPr="00154F5A" w:rsidRDefault="00F205C2" w:rsidP="004B7B41">
            <w:pPr>
              <w:widowControl/>
              <w:jc w:val="center"/>
              <w:rPr>
                <w:kern w:val="0"/>
                <w:szCs w:val="21"/>
              </w:rPr>
            </w:pPr>
            <w:r>
              <w:rPr>
                <w:rFonts w:hint="eastAsia"/>
                <w:kern w:val="0"/>
                <w:szCs w:val="21"/>
              </w:rPr>
              <w:t>6.4</w:t>
            </w: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24.6%</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否</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难以完成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预期性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3</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第三产业增加值比重</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45</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43</w:t>
            </w:r>
          </w:p>
        </w:tc>
        <w:tc>
          <w:tcPr>
            <w:tcW w:w="709"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45.57</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44.54</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47.14</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56.12</w:t>
            </w:r>
          </w:p>
        </w:tc>
        <w:tc>
          <w:tcPr>
            <w:tcW w:w="723"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026E5E" w:rsidP="004B7B41">
            <w:pPr>
              <w:widowControl/>
              <w:jc w:val="center"/>
              <w:rPr>
                <w:rFonts w:eastAsia="等线"/>
                <w:kern w:val="0"/>
                <w:szCs w:val="21"/>
              </w:rPr>
            </w:pPr>
            <w:r>
              <w:rPr>
                <w:rFonts w:eastAsia="等线" w:hint="eastAsia"/>
                <w:kern w:val="0"/>
                <w:szCs w:val="21"/>
              </w:rPr>
              <w:t>100</w:t>
            </w:r>
            <w:r w:rsidR="005B010E" w:rsidRPr="00154F5A">
              <w:rPr>
                <w:rFonts w:eastAsia="等线"/>
                <w:kern w:val="0"/>
                <w:szCs w:val="21"/>
              </w:rPr>
              <w:t>%</w:t>
            </w:r>
          </w:p>
        </w:tc>
        <w:tc>
          <w:tcPr>
            <w:tcW w:w="992" w:type="dxa"/>
            <w:shd w:val="clear" w:color="auto" w:fill="auto"/>
            <w:noWrap/>
            <w:vAlign w:val="center"/>
            <w:hideMark/>
          </w:tcPr>
          <w:p w:rsidR="005B010E" w:rsidRPr="00154F5A" w:rsidRDefault="00026E5E" w:rsidP="004B7B41">
            <w:pPr>
              <w:widowControl/>
              <w:jc w:val="center"/>
              <w:rPr>
                <w:kern w:val="0"/>
                <w:szCs w:val="21"/>
              </w:rPr>
            </w:pPr>
            <w:r>
              <w:rPr>
                <w:rFonts w:hAnsi="宋体" w:hint="eastAsia"/>
                <w:kern w:val="0"/>
                <w:szCs w:val="21"/>
              </w:rPr>
              <w:t>是</w:t>
            </w:r>
          </w:p>
        </w:tc>
        <w:tc>
          <w:tcPr>
            <w:tcW w:w="976" w:type="dxa"/>
            <w:shd w:val="clear" w:color="auto" w:fill="auto"/>
            <w:noWrap/>
            <w:vAlign w:val="center"/>
            <w:hideMark/>
          </w:tcPr>
          <w:p w:rsidR="005B010E" w:rsidRPr="00154F5A" w:rsidRDefault="00026E5E" w:rsidP="004B7B41">
            <w:pPr>
              <w:widowControl/>
              <w:jc w:val="center"/>
              <w:rPr>
                <w:kern w:val="0"/>
                <w:szCs w:val="21"/>
              </w:rPr>
            </w:pPr>
            <w:r>
              <w:rPr>
                <w:rFonts w:hAnsi="宋体" w:hint="eastAsia"/>
                <w:kern w:val="0"/>
                <w:szCs w:val="21"/>
              </w:rPr>
              <w:t>可</w:t>
            </w:r>
            <w:r w:rsidR="005B010E" w:rsidRPr="00154F5A">
              <w:rPr>
                <w:rFonts w:hAnsi="宋体"/>
                <w:kern w:val="0"/>
                <w:szCs w:val="21"/>
              </w:rPr>
              <w:t>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导向性</w:t>
            </w:r>
          </w:p>
        </w:tc>
      </w:tr>
      <w:tr w:rsidR="00367AB3" w:rsidRPr="00154F5A" w:rsidTr="004B7B41">
        <w:trPr>
          <w:trHeight w:val="57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固定资产投资</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亿元</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69.02</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210</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25</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69</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59.6</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78.02</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35.46</w:t>
            </w: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6.35</w:t>
            </w: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6.4%</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否</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难以完成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预期性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5</w:t>
            </w:r>
          </w:p>
        </w:tc>
        <w:tc>
          <w:tcPr>
            <w:tcW w:w="1843" w:type="dxa"/>
            <w:shd w:val="clear" w:color="auto" w:fill="auto"/>
            <w:noWrap/>
            <w:vAlign w:val="center"/>
            <w:hideMark/>
          </w:tcPr>
          <w:p w:rsidR="005B010E" w:rsidRPr="00154F5A" w:rsidRDefault="005B010E" w:rsidP="00430EA9">
            <w:pPr>
              <w:widowControl/>
              <w:jc w:val="center"/>
              <w:rPr>
                <w:kern w:val="0"/>
                <w:szCs w:val="21"/>
              </w:rPr>
            </w:pPr>
            <w:r w:rsidRPr="00154F5A">
              <w:rPr>
                <w:rFonts w:hAnsi="宋体"/>
                <w:kern w:val="0"/>
                <w:szCs w:val="21"/>
              </w:rPr>
              <w:t>地方</w:t>
            </w:r>
            <w:r w:rsidR="00430EA9">
              <w:rPr>
                <w:rFonts w:hAnsi="宋体" w:hint="eastAsia"/>
                <w:kern w:val="0"/>
                <w:szCs w:val="21"/>
              </w:rPr>
              <w:t>一般</w:t>
            </w:r>
            <w:r w:rsidRPr="00154F5A">
              <w:rPr>
                <w:rFonts w:hAnsi="宋体"/>
                <w:kern w:val="0"/>
                <w:szCs w:val="21"/>
              </w:rPr>
              <w:t>公共预算收入</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亿元</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8.19</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16.5</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15</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7.89</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9.6</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9.7</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4.68</w:t>
            </w: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1.06</w:t>
            </w:r>
          </w:p>
        </w:tc>
        <w:tc>
          <w:tcPr>
            <w:tcW w:w="81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-1.53</w:t>
            </w: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21.8%</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否</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难以完成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预期性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6</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每百万人口发明专利授权量</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件</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7.3</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10.9</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8.2</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7.3</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9.2</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20.9</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8.2</w:t>
            </w:r>
          </w:p>
        </w:tc>
        <w:tc>
          <w:tcPr>
            <w:tcW w:w="723"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69.20442</w:t>
            </w: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377.8%</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是，超额完成</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可完成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预期性</w:t>
            </w:r>
          </w:p>
        </w:tc>
      </w:tr>
      <w:tr w:rsidR="00367AB3" w:rsidRPr="00154F5A" w:rsidTr="004B7B41">
        <w:trPr>
          <w:trHeight w:val="169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7</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社会消费品零售总额</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亿元</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44.37</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80</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13</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44.37</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49.1</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53.74</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28.98</w:t>
            </w: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9.85</w:t>
            </w: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26.3%</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否</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难以完成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预期性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8</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进出口总额</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亿美元</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2.64</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3.78</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8</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2.64</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2.87</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2.1</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1.29</w:t>
            </w: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-10.81</w:t>
            </w: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6B5D58" w:rsidP="004B7B41">
            <w:pPr>
              <w:widowControl/>
              <w:jc w:val="center"/>
              <w:rPr>
                <w:rFonts w:eastAsia="等线"/>
                <w:kern w:val="0"/>
                <w:szCs w:val="21"/>
              </w:rPr>
            </w:pPr>
            <w:r>
              <w:rPr>
                <w:rFonts w:eastAsia="等线" w:hint="eastAsia"/>
                <w:kern w:val="0"/>
                <w:szCs w:val="21"/>
              </w:rPr>
              <w:t>-</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否</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难以完成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预期性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城镇化水平</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45.01</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53</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1.49</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45.01</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45.33</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45.84</w:t>
            </w:r>
          </w:p>
        </w:tc>
        <w:tc>
          <w:tcPr>
            <w:tcW w:w="876"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0.92</w:t>
            </w: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10.4%</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否</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难以完成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预期性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旅游总收入</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亿元</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23.9</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50</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20</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23.9</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30.16</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33.84</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17.1</w:t>
            </w: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19.21</w:t>
            </w:r>
          </w:p>
        </w:tc>
        <w:tc>
          <w:tcPr>
            <w:tcW w:w="81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21.25</w:t>
            </w: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38.1%</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否</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争取完成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预期性</w:t>
            </w:r>
          </w:p>
        </w:tc>
      </w:tr>
      <w:tr w:rsidR="00367AB3" w:rsidRPr="00154F5A" w:rsidTr="004B7B41">
        <w:trPr>
          <w:trHeight w:val="300"/>
        </w:trPr>
        <w:tc>
          <w:tcPr>
            <w:tcW w:w="749" w:type="dxa"/>
            <w:vMerge w:val="restart"/>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社会</w:t>
            </w:r>
            <w:r w:rsidRPr="00154F5A">
              <w:rPr>
                <w:rFonts w:hAnsi="宋体"/>
                <w:kern w:val="0"/>
                <w:szCs w:val="21"/>
              </w:rPr>
              <w:lastRenderedPageBreak/>
              <w:t>发展</w:t>
            </w: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lastRenderedPageBreak/>
              <w:t>11</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基本公共服务支</w:t>
            </w:r>
            <w:r w:rsidRPr="00154F5A">
              <w:rPr>
                <w:rFonts w:hAnsi="宋体"/>
                <w:kern w:val="0"/>
                <w:szCs w:val="21"/>
              </w:rPr>
              <w:lastRenderedPageBreak/>
              <w:t>出占公共财政预算支出的比重</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lastRenderedPageBreak/>
              <w:t>%</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44.96</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55</w:t>
            </w:r>
          </w:p>
        </w:tc>
        <w:tc>
          <w:tcPr>
            <w:tcW w:w="709"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44.96</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54.25</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54.35</w:t>
            </w:r>
          </w:p>
        </w:tc>
        <w:tc>
          <w:tcPr>
            <w:tcW w:w="876"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0.1</w:t>
            </w: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93.5%</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是</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可完成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预</w:t>
            </w:r>
            <w:r w:rsidRPr="00154F5A">
              <w:rPr>
                <w:rFonts w:hAnsi="宋体"/>
                <w:kern w:val="0"/>
                <w:szCs w:val="21"/>
              </w:rPr>
              <w:lastRenderedPageBreak/>
              <w:t>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12</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城乡居民人均可支配收入</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元</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13949</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21759</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9.3</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13902.6</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15368</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16857</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8655.3</w:t>
            </w: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10.11</w:t>
            </w:r>
          </w:p>
        </w:tc>
        <w:tc>
          <w:tcPr>
            <w:tcW w:w="81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16.52</w:t>
            </w: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37.8%</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否</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争取完成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预期性</w:t>
            </w:r>
          </w:p>
        </w:tc>
      </w:tr>
      <w:tr w:rsidR="00367AB3" w:rsidRPr="00154F5A" w:rsidTr="004B7B41">
        <w:trPr>
          <w:trHeight w:val="169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13</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城镇登记失业率</w:t>
            </w:r>
            <w:r w:rsidRPr="00154F5A">
              <w:rPr>
                <w:kern w:val="0"/>
                <w:szCs w:val="21"/>
              </w:rPr>
              <w:t>(</w:t>
            </w:r>
            <w:r w:rsidRPr="00154F5A">
              <w:rPr>
                <w:rFonts w:hAnsi="宋体"/>
                <w:kern w:val="0"/>
                <w:szCs w:val="21"/>
              </w:rPr>
              <w:t>或城镇调查失业率</w:t>
            </w:r>
            <w:r w:rsidRPr="00154F5A">
              <w:rPr>
                <w:kern w:val="0"/>
                <w:szCs w:val="21"/>
              </w:rPr>
              <w:t>)</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2.4</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3.5</w:t>
            </w:r>
          </w:p>
        </w:tc>
        <w:tc>
          <w:tcPr>
            <w:tcW w:w="709"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2.35</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2.32</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2.4</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2.34</w:t>
            </w:r>
          </w:p>
        </w:tc>
        <w:tc>
          <w:tcPr>
            <w:tcW w:w="723"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w:t>
            </w:r>
          </w:p>
        </w:tc>
        <w:tc>
          <w:tcPr>
            <w:tcW w:w="992" w:type="dxa"/>
            <w:shd w:val="clear" w:color="auto" w:fill="auto"/>
            <w:vAlign w:val="center"/>
            <w:hideMark/>
          </w:tcPr>
          <w:p w:rsidR="005B010E" w:rsidRPr="00154F5A" w:rsidRDefault="005B010E" w:rsidP="004B7B41">
            <w:pPr>
              <w:widowControl/>
              <w:jc w:val="center"/>
              <w:rPr>
                <w:rFonts w:eastAsia="等线"/>
                <w:kern w:val="0"/>
                <w:szCs w:val="21"/>
              </w:rPr>
            </w:pPr>
            <w:r w:rsidRPr="00154F5A">
              <w:rPr>
                <w:rFonts w:hAnsi="宋体"/>
                <w:kern w:val="0"/>
                <w:szCs w:val="21"/>
              </w:rPr>
              <w:t>是，控制范围指标，在</w:t>
            </w:r>
            <w:r w:rsidRPr="00154F5A">
              <w:rPr>
                <w:rFonts w:eastAsia="等线"/>
                <w:kern w:val="0"/>
                <w:szCs w:val="21"/>
              </w:rPr>
              <w:t>“</w:t>
            </w:r>
            <w:r w:rsidRPr="00154F5A">
              <w:rPr>
                <w:rFonts w:hAnsi="宋体"/>
                <w:kern w:val="0"/>
                <w:szCs w:val="21"/>
              </w:rPr>
              <w:t>十三五</w:t>
            </w:r>
            <w:r w:rsidRPr="00154F5A">
              <w:rPr>
                <w:rFonts w:eastAsia="等线"/>
                <w:kern w:val="0"/>
                <w:szCs w:val="21"/>
              </w:rPr>
              <w:t>”</w:t>
            </w:r>
            <w:r w:rsidRPr="00154F5A">
              <w:rPr>
                <w:rFonts w:hAnsi="宋体"/>
                <w:kern w:val="0"/>
                <w:szCs w:val="21"/>
              </w:rPr>
              <w:t>规划控制目标内。</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可完成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预期性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14</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城镇新增就业岗位累计</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万人</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1.39</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1.4</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0.01</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1.61</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1.83</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2.05</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2.16</w:t>
            </w: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0.12</w:t>
            </w:r>
          </w:p>
        </w:tc>
        <w:tc>
          <w:tcPr>
            <w:tcW w:w="81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0.13</w:t>
            </w: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是</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可完成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预期性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15</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新增转移就业劳动力累计</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万人</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5.24</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3</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-7.48</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5.25</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5.46</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5.67</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5.89</w:t>
            </w: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0.04</w:t>
            </w:r>
          </w:p>
        </w:tc>
        <w:tc>
          <w:tcPr>
            <w:tcW w:w="81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0.05</w:t>
            </w: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是</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可完成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预期性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16</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高中阶段教育毛</w:t>
            </w:r>
            <w:r w:rsidRPr="00154F5A">
              <w:rPr>
                <w:rFonts w:hAnsi="宋体"/>
                <w:kern w:val="0"/>
                <w:szCs w:val="21"/>
              </w:rPr>
              <w:lastRenderedPageBreak/>
              <w:t>入学率</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lastRenderedPageBreak/>
              <w:t>%</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95.35</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95.85</w:t>
            </w:r>
          </w:p>
        </w:tc>
        <w:tc>
          <w:tcPr>
            <w:tcW w:w="709"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95.35</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95.45</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95.55</w:t>
            </w:r>
          </w:p>
        </w:tc>
        <w:tc>
          <w:tcPr>
            <w:tcW w:w="876"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23"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40.0%</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是</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可完成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预</w:t>
            </w:r>
            <w:r w:rsidRPr="00154F5A">
              <w:rPr>
                <w:rFonts w:hAnsi="宋体"/>
                <w:kern w:val="0"/>
                <w:szCs w:val="21"/>
              </w:rPr>
              <w:lastRenderedPageBreak/>
              <w:t>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17</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城镇职工基本养老保险参保率</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78</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100</w:t>
            </w:r>
          </w:p>
        </w:tc>
        <w:tc>
          <w:tcPr>
            <w:tcW w:w="709"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78</w:t>
            </w:r>
          </w:p>
        </w:tc>
        <w:tc>
          <w:tcPr>
            <w:tcW w:w="709"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78.5</w:t>
            </w:r>
          </w:p>
        </w:tc>
        <w:tc>
          <w:tcPr>
            <w:tcW w:w="876"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23"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2.3%</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否</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争取完成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约束性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18</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城镇基本医疗保险参保率</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100</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100</w:t>
            </w:r>
          </w:p>
        </w:tc>
        <w:tc>
          <w:tcPr>
            <w:tcW w:w="709"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100</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100</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100</w:t>
            </w:r>
          </w:p>
        </w:tc>
        <w:tc>
          <w:tcPr>
            <w:tcW w:w="876"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23"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是</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可完成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约束性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19</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新型农村合作医疗覆盖率</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100</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100</w:t>
            </w:r>
          </w:p>
        </w:tc>
        <w:tc>
          <w:tcPr>
            <w:tcW w:w="709"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100</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100</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100</w:t>
            </w:r>
          </w:p>
        </w:tc>
        <w:tc>
          <w:tcPr>
            <w:tcW w:w="876"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23"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是</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可完成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约束性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20</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常住人口</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万人</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38.18</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39.15</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0.5</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38.18</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38.3</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38.38</w:t>
            </w:r>
          </w:p>
        </w:tc>
        <w:tc>
          <w:tcPr>
            <w:tcW w:w="876"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0.26</w:t>
            </w: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20.6%</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否</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争取完成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约束性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21</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人口自然增长率</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4.82</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9.8</w:t>
            </w:r>
          </w:p>
        </w:tc>
        <w:tc>
          <w:tcPr>
            <w:tcW w:w="709"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4.82</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3.99</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4.59</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0.84</w:t>
            </w: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-2.39</w:t>
            </w: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是</w:t>
            </w:r>
          </w:p>
        </w:tc>
        <w:tc>
          <w:tcPr>
            <w:tcW w:w="976" w:type="dxa"/>
            <w:shd w:val="clear" w:color="auto" w:fill="auto"/>
            <w:noWrap/>
            <w:vAlign w:val="center"/>
            <w:hideMark/>
          </w:tcPr>
          <w:p w:rsidR="005B010E" w:rsidRPr="00154F5A" w:rsidRDefault="00BC245C" w:rsidP="004B7B41">
            <w:pPr>
              <w:widowControl/>
              <w:jc w:val="center"/>
              <w:rPr>
                <w:kern w:val="0"/>
                <w:szCs w:val="21"/>
              </w:rPr>
            </w:pPr>
            <w:r>
              <w:rPr>
                <w:rFonts w:hAnsi="宋体" w:hint="eastAsia"/>
                <w:kern w:val="0"/>
                <w:szCs w:val="21"/>
              </w:rPr>
              <w:t>可</w:t>
            </w:r>
            <w:r w:rsidR="005B010E" w:rsidRPr="00154F5A">
              <w:rPr>
                <w:rFonts w:hAnsi="宋体"/>
                <w:kern w:val="0"/>
                <w:szCs w:val="21"/>
              </w:rPr>
              <w:t>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约束性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22</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平均每千人口拥有医生数</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人</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1.88</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w:t>
            </w:r>
          </w:p>
        </w:tc>
        <w:tc>
          <w:tcPr>
            <w:tcW w:w="709"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2.46</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2.43</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2.43</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2.63</w:t>
            </w: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-0.81</w:t>
            </w: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是</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可完成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预期</w:t>
            </w:r>
            <w:r w:rsidRPr="00154F5A">
              <w:rPr>
                <w:rFonts w:hAnsi="宋体"/>
                <w:kern w:val="0"/>
                <w:szCs w:val="21"/>
              </w:rPr>
              <w:lastRenderedPageBreak/>
              <w:t>性</w:t>
            </w:r>
          </w:p>
        </w:tc>
      </w:tr>
      <w:tr w:rsidR="00367AB3" w:rsidRPr="00154F5A" w:rsidTr="004B7B41">
        <w:trPr>
          <w:trHeight w:val="300"/>
        </w:trPr>
        <w:tc>
          <w:tcPr>
            <w:tcW w:w="749" w:type="dxa"/>
            <w:vMerge w:val="restart"/>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lastRenderedPageBreak/>
              <w:t>资源环境</w:t>
            </w: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23</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万元</w:t>
            </w:r>
            <w:r w:rsidRPr="00154F5A">
              <w:rPr>
                <w:kern w:val="0"/>
                <w:szCs w:val="21"/>
              </w:rPr>
              <w:t>GDP</w:t>
            </w:r>
            <w:r w:rsidRPr="00154F5A">
              <w:rPr>
                <w:rFonts w:hAnsi="宋体"/>
                <w:kern w:val="0"/>
                <w:szCs w:val="21"/>
              </w:rPr>
              <w:t>能耗</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吨标煤</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0.4051</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0.515</w:t>
            </w:r>
          </w:p>
        </w:tc>
        <w:tc>
          <w:tcPr>
            <w:tcW w:w="709"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0.4051</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0.482</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0.4757</w:t>
            </w:r>
          </w:p>
        </w:tc>
        <w:tc>
          <w:tcPr>
            <w:tcW w:w="876"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3.97</w:t>
            </w: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是</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可完成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约束性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24</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耕地保有量</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万公顷</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1.51371</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1.51273</w:t>
            </w:r>
          </w:p>
        </w:tc>
        <w:tc>
          <w:tcPr>
            <w:tcW w:w="709"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1.5233</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1.4838</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1.4838</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1.4838</w:t>
            </w:r>
          </w:p>
        </w:tc>
        <w:tc>
          <w:tcPr>
            <w:tcW w:w="723"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否</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争取完成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约束性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25</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城镇生活污水处理率</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90</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95</w:t>
            </w:r>
          </w:p>
        </w:tc>
        <w:tc>
          <w:tcPr>
            <w:tcW w:w="709"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92.24</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99.1</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99.5</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99.8</w:t>
            </w: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0.4</w:t>
            </w:r>
          </w:p>
        </w:tc>
        <w:tc>
          <w:tcPr>
            <w:tcW w:w="81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0.7</w:t>
            </w: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145.2%</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是，超额完成</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可完成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约束性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26</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城镇生活垃圾无害化处理率</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100</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100</w:t>
            </w:r>
          </w:p>
        </w:tc>
        <w:tc>
          <w:tcPr>
            <w:tcW w:w="709"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92.5</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94.3</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98.5</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100</w:t>
            </w: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w:t>
            </w:r>
          </w:p>
        </w:tc>
        <w:tc>
          <w:tcPr>
            <w:tcW w:w="81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5.7</w:t>
            </w: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是，</w:t>
            </w:r>
            <w:r w:rsidRPr="00154F5A">
              <w:rPr>
                <w:kern w:val="0"/>
                <w:szCs w:val="21"/>
              </w:rPr>
              <w:t>2018</w:t>
            </w:r>
            <w:r w:rsidRPr="00154F5A">
              <w:rPr>
                <w:rFonts w:hAnsi="宋体"/>
                <w:kern w:val="0"/>
                <w:szCs w:val="21"/>
              </w:rPr>
              <w:t>年上半年已完成</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可完成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约束性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27</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二氧化硫排放量</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吨</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921</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待市下达</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1269</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1235</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1228</w:t>
            </w:r>
          </w:p>
        </w:tc>
        <w:tc>
          <w:tcPr>
            <w:tcW w:w="876"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-0.11</w:t>
            </w: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026E5E" w:rsidP="004B7B41">
            <w:pPr>
              <w:widowControl/>
              <w:jc w:val="center"/>
              <w:rPr>
                <w:rFonts w:eastAsia="等线"/>
                <w:kern w:val="0"/>
                <w:szCs w:val="21"/>
              </w:rPr>
            </w:pPr>
            <w:r w:rsidRPr="00154F5A">
              <w:rPr>
                <w:rFonts w:eastAsia="等线"/>
                <w:kern w:val="0"/>
                <w:szCs w:val="21"/>
              </w:rPr>
              <w:t>-</w:t>
            </w:r>
          </w:p>
        </w:tc>
        <w:tc>
          <w:tcPr>
            <w:tcW w:w="992" w:type="dxa"/>
            <w:shd w:val="clear" w:color="auto" w:fill="auto"/>
            <w:noWrap/>
            <w:vAlign w:val="center"/>
            <w:hideMark/>
          </w:tcPr>
          <w:p w:rsidR="005B010E" w:rsidRPr="00154F5A" w:rsidRDefault="00026E5E" w:rsidP="004B7B41">
            <w:pPr>
              <w:widowControl/>
              <w:jc w:val="center"/>
              <w:rPr>
                <w:rFonts w:eastAsia="等线"/>
                <w:kern w:val="0"/>
                <w:szCs w:val="21"/>
              </w:rPr>
            </w:pPr>
            <w:r>
              <w:rPr>
                <w:rFonts w:eastAsia="等线" w:hAnsi="Calibri"/>
                <w:kern w:val="0"/>
                <w:szCs w:val="21"/>
              </w:rPr>
              <w:t>是</w:t>
            </w:r>
          </w:p>
        </w:tc>
        <w:tc>
          <w:tcPr>
            <w:tcW w:w="976" w:type="dxa"/>
            <w:shd w:val="clear" w:color="auto" w:fill="auto"/>
            <w:noWrap/>
            <w:vAlign w:val="center"/>
            <w:hideMark/>
          </w:tcPr>
          <w:p w:rsidR="005B010E" w:rsidRPr="00154F5A" w:rsidRDefault="00026E5E" w:rsidP="004B7B41">
            <w:pPr>
              <w:widowControl/>
              <w:jc w:val="center"/>
              <w:rPr>
                <w:rFonts w:eastAsia="等线"/>
                <w:kern w:val="0"/>
                <w:szCs w:val="21"/>
              </w:rPr>
            </w:pPr>
            <w:r>
              <w:rPr>
                <w:rFonts w:eastAsia="等线" w:hAnsi="Calibri"/>
                <w:kern w:val="0"/>
                <w:szCs w:val="21"/>
              </w:rPr>
              <w:t>可完成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rFonts w:hAnsi="宋体"/>
                <w:kern w:val="0"/>
                <w:szCs w:val="21"/>
              </w:rPr>
              <w:t>约束性</w:t>
            </w:r>
          </w:p>
        </w:tc>
      </w:tr>
      <w:tr w:rsidR="00026E5E" w:rsidRPr="00154F5A" w:rsidTr="004B7B41">
        <w:trPr>
          <w:trHeight w:val="300"/>
        </w:trPr>
        <w:tc>
          <w:tcPr>
            <w:tcW w:w="749" w:type="dxa"/>
            <w:vMerge/>
            <w:vAlign w:val="center"/>
            <w:hideMark/>
          </w:tcPr>
          <w:p w:rsidR="00026E5E" w:rsidRPr="00154F5A" w:rsidRDefault="00026E5E" w:rsidP="004B7B41">
            <w:pPr>
              <w:widowControl/>
              <w:jc w:val="center"/>
              <w:rPr>
                <w:kern w:val="0"/>
                <w:szCs w:val="21"/>
              </w:rPr>
            </w:pPr>
          </w:p>
        </w:tc>
        <w:tc>
          <w:tcPr>
            <w:tcW w:w="537"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28</w:t>
            </w:r>
          </w:p>
        </w:tc>
        <w:tc>
          <w:tcPr>
            <w:tcW w:w="1843" w:type="dxa"/>
            <w:shd w:val="clear" w:color="auto" w:fill="auto"/>
            <w:noWrap/>
            <w:vAlign w:val="center"/>
            <w:hideMark/>
          </w:tcPr>
          <w:p w:rsidR="00026E5E" w:rsidRPr="00154F5A" w:rsidRDefault="00026E5E" w:rsidP="004B7B41">
            <w:pPr>
              <w:widowControl/>
              <w:jc w:val="center"/>
              <w:rPr>
                <w:kern w:val="0"/>
                <w:szCs w:val="21"/>
              </w:rPr>
            </w:pPr>
            <w:r w:rsidRPr="00154F5A">
              <w:rPr>
                <w:rFonts w:hAnsi="宋体"/>
                <w:kern w:val="0"/>
                <w:szCs w:val="21"/>
              </w:rPr>
              <w:t>化学需氧量排放量</w:t>
            </w:r>
          </w:p>
        </w:tc>
        <w:tc>
          <w:tcPr>
            <w:tcW w:w="709" w:type="dxa"/>
            <w:shd w:val="clear" w:color="auto" w:fill="auto"/>
            <w:noWrap/>
            <w:vAlign w:val="center"/>
            <w:hideMark/>
          </w:tcPr>
          <w:p w:rsidR="00026E5E" w:rsidRPr="00154F5A" w:rsidRDefault="00026E5E" w:rsidP="004B7B41">
            <w:pPr>
              <w:widowControl/>
              <w:jc w:val="center"/>
              <w:rPr>
                <w:kern w:val="0"/>
                <w:szCs w:val="21"/>
              </w:rPr>
            </w:pPr>
            <w:r w:rsidRPr="00154F5A">
              <w:rPr>
                <w:rFonts w:hAnsi="宋体"/>
                <w:kern w:val="0"/>
                <w:szCs w:val="21"/>
              </w:rPr>
              <w:t>吨</w:t>
            </w:r>
          </w:p>
        </w:tc>
        <w:tc>
          <w:tcPr>
            <w:tcW w:w="708"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5950</w:t>
            </w:r>
          </w:p>
        </w:tc>
        <w:tc>
          <w:tcPr>
            <w:tcW w:w="851" w:type="dxa"/>
            <w:shd w:val="clear" w:color="auto" w:fill="auto"/>
            <w:noWrap/>
            <w:vAlign w:val="center"/>
            <w:hideMark/>
          </w:tcPr>
          <w:p w:rsidR="00026E5E" w:rsidRPr="00154F5A" w:rsidRDefault="00026E5E" w:rsidP="004B7B41">
            <w:pPr>
              <w:widowControl/>
              <w:jc w:val="center"/>
              <w:rPr>
                <w:kern w:val="0"/>
                <w:szCs w:val="21"/>
              </w:rPr>
            </w:pPr>
            <w:r w:rsidRPr="00154F5A">
              <w:rPr>
                <w:rFonts w:hAnsi="宋体"/>
                <w:kern w:val="0"/>
                <w:szCs w:val="21"/>
              </w:rPr>
              <w:t>待市下达</w:t>
            </w:r>
          </w:p>
        </w:tc>
        <w:tc>
          <w:tcPr>
            <w:tcW w:w="709"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w:t>
            </w:r>
          </w:p>
        </w:tc>
        <w:tc>
          <w:tcPr>
            <w:tcW w:w="708"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5286</w:t>
            </w:r>
          </w:p>
        </w:tc>
        <w:tc>
          <w:tcPr>
            <w:tcW w:w="709"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4679</w:t>
            </w:r>
          </w:p>
        </w:tc>
        <w:tc>
          <w:tcPr>
            <w:tcW w:w="709"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4517</w:t>
            </w:r>
          </w:p>
        </w:tc>
        <w:tc>
          <w:tcPr>
            <w:tcW w:w="876" w:type="dxa"/>
            <w:shd w:val="clear" w:color="auto" w:fill="auto"/>
            <w:noWrap/>
            <w:vAlign w:val="center"/>
            <w:hideMark/>
          </w:tcPr>
          <w:p w:rsidR="00026E5E" w:rsidRPr="00154F5A" w:rsidRDefault="00026E5E" w:rsidP="004B7B41">
            <w:pPr>
              <w:widowControl/>
              <w:jc w:val="center"/>
              <w:rPr>
                <w:rFonts w:eastAsia="等线"/>
                <w:kern w:val="0"/>
                <w:szCs w:val="21"/>
              </w:rPr>
            </w:pPr>
          </w:p>
        </w:tc>
        <w:tc>
          <w:tcPr>
            <w:tcW w:w="723"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-0.04</w:t>
            </w:r>
          </w:p>
        </w:tc>
        <w:tc>
          <w:tcPr>
            <w:tcW w:w="811" w:type="dxa"/>
            <w:shd w:val="clear" w:color="auto" w:fill="auto"/>
            <w:noWrap/>
            <w:vAlign w:val="center"/>
            <w:hideMark/>
          </w:tcPr>
          <w:p w:rsidR="00026E5E" w:rsidRPr="00154F5A" w:rsidRDefault="00026E5E" w:rsidP="004B7B41">
            <w:pPr>
              <w:widowControl/>
              <w:jc w:val="center"/>
              <w:rPr>
                <w:rFonts w:eastAsia="等线"/>
                <w:kern w:val="0"/>
                <w:szCs w:val="21"/>
              </w:rPr>
            </w:pPr>
          </w:p>
        </w:tc>
        <w:tc>
          <w:tcPr>
            <w:tcW w:w="850" w:type="dxa"/>
            <w:shd w:val="clear" w:color="auto" w:fill="auto"/>
            <w:noWrap/>
            <w:vAlign w:val="center"/>
            <w:hideMark/>
          </w:tcPr>
          <w:p w:rsidR="00026E5E" w:rsidRPr="00154F5A" w:rsidRDefault="00026E5E" w:rsidP="004B7B41">
            <w:pPr>
              <w:widowControl/>
              <w:jc w:val="center"/>
              <w:rPr>
                <w:rFonts w:eastAsia="等线"/>
                <w:kern w:val="0"/>
                <w:szCs w:val="21"/>
              </w:rPr>
            </w:pPr>
            <w:r w:rsidRPr="00154F5A">
              <w:rPr>
                <w:rFonts w:eastAsia="等线"/>
                <w:kern w:val="0"/>
                <w:szCs w:val="21"/>
              </w:rPr>
              <w:t>-</w:t>
            </w:r>
          </w:p>
        </w:tc>
        <w:tc>
          <w:tcPr>
            <w:tcW w:w="992" w:type="dxa"/>
            <w:shd w:val="clear" w:color="auto" w:fill="auto"/>
            <w:noWrap/>
            <w:vAlign w:val="center"/>
            <w:hideMark/>
          </w:tcPr>
          <w:p w:rsidR="00026E5E" w:rsidRPr="00154F5A" w:rsidRDefault="00026E5E" w:rsidP="004B7B41">
            <w:pPr>
              <w:widowControl/>
              <w:jc w:val="center"/>
              <w:rPr>
                <w:rFonts w:eastAsia="等线"/>
                <w:kern w:val="0"/>
                <w:szCs w:val="21"/>
              </w:rPr>
            </w:pPr>
            <w:r>
              <w:rPr>
                <w:rFonts w:eastAsia="等线" w:hAnsi="Calibri"/>
                <w:kern w:val="0"/>
                <w:szCs w:val="21"/>
              </w:rPr>
              <w:t>是</w:t>
            </w:r>
          </w:p>
        </w:tc>
        <w:tc>
          <w:tcPr>
            <w:tcW w:w="976" w:type="dxa"/>
            <w:shd w:val="clear" w:color="auto" w:fill="auto"/>
            <w:noWrap/>
            <w:vAlign w:val="center"/>
            <w:hideMark/>
          </w:tcPr>
          <w:p w:rsidR="00026E5E" w:rsidRPr="00154F5A" w:rsidRDefault="00026E5E" w:rsidP="004B7B41">
            <w:pPr>
              <w:widowControl/>
              <w:jc w:val="center"/>
              <w:rPr>
                <w:rFonts w:eastAsia="等线"/>
                <w:kern w:val="0"/>
                <w:szCs w:val="21"/>
              </w:rPr>
            </w:pPr>
            <w:r>
              <w:rPr>
                <w:rFonts w:eastAsia="等线" w:hAnsi="Calibri"/>
                <w:kern w:val="0"/>
                <w:szCs w:val="21"/>
              </w:rPr>
              <w:t>可完成</w:t>
            </w:r>
          </w:p>
        </w:tc>
        <w:tc>
          <w:tcPr>
            <w:tcW w:w="616" w:type="dxa"/>
            <w:shd w:val="clear" w:color="auto" w:fill="auto"/>
            <w:noWrap/>
            <w:vAlign w:val="center"/>
            <w:hideMark/>
          </w:tcPr>
          <w:p w:rsidR="00026E5E" w:rsidRPr="00154F5A" w:rsidRDefault="00026E5E" w:rsidP="004B7B41">
            <w:pPr>
              <w:widowControl/>
              <w:jc w:val="center"/>
              <w:rPr>
                <w:kern w:val="0"/>
                <w:szCs w:val="21"/>
              </w:rPr>
            </w:pPr>
            <w:r w:rsidRPr="00154F5A">
              <w:rPr>
                <w:rFonts w:hAnsi="宋体"/>
                <w:kern w:val="0"/>
                <w:szCs w:val="21"/>
              </w:rPr>
              <w:t>约束</w:t>
            </w:r>
            <w:r w:rsidRPr="00154F5A">
              <w:rPr>
                <w:rFonts w:hAnsi="宋体"/>
                <w:kern w:val="0"/>
                <w:szCs w:val="21"/>
              </w:rPr>
              <w:lastRenderedPageBreak/>
              <w:t>性</w:t>
            </w:r>
          </w:p>
        </w:tc>
      </w:tr>
      <w:tr w:rsidR="00026E5E" w:rsidRPr="00154F5A" w:rsidTr="004B7B41">
        <w:trPr>
          <w:trHeight w:val="300"/>
        </w:trPr>
        <w:tc>
          <w:tcPr>
            <w:tcW w:w="749" w:type="dxa"/>
            <w:vMerge/>
            <w:vAlign w:val="center"/>
            <w:hideMark/>
          </w:tcPr>
          <w:p w:rsidR="00026E5E" w:rsidRPr="00154F5A" w:rsidRDefault="00026E5E" w:rsidP="004B7B41">
            <w:pPr>
              <w:widowControl/>
              <w:jc w:val="center"/>
              <w:rPr>
                <w:kern w:val="0"/>
                <w:szCs w:val="21"/>
              </w:rPr>
            </w:pPr>
          </w:p>
        </w:tc>
        <w:tc>
          <w:tcPr>
            <w:tcW w:w="537"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29</w:t>
            </w:r>
          </w:p>
        </w:tc>
        <w:tc>
          <w:tcPr>
            <w:tcW w:w="1843" w:type="dxa"/>
            <w:shd w:val="clear" w:color="auto" w:fill="auto"/>
            <w:noWrap/>
            <w:vAlign w:val="center"/>
            <w:hideMark/>
          </w:tcPr>
          <w:p w:rsidR="00026E5E" w:rsidRPr="00154F5A" w:rsidRDefault="00026E5E" w:rsidP="004B7B41">
            <w:pPr>
              <w:widowControl/>
              <w:jc w:val="center"/>
              <w:rPr>
                <w:kern w:val="0"/>
                <w:szCs w:val="21"/>
              </w:rPr>
            </w:pPr>
            <w:r w:rsidRPr="00154F5A">
              <w:rPr>
                <w:rFonts w:hAnsi="宋体"/>
                <w:kern w:val="0"/>
                <w:szCs w:val="21"/>
              </w:rPr>
              <w:t>氮氧化物排放量</w:t>
            </w:r>
          </w:p>
        </w:tc>
        <w:tc>
          <w:tcPr>
            <w:tcW w:w="709" w:type="dxa"/>
            <w:shd w:val="clear" w:color="auto" w:fill="auto"/>
            <w:noWrap/>
            <w:vAlign w:val="center"/>
            <w:hideMark/>
          </w:tcPr>
          <w:p w:rsidR="00026E5E" w:rsidRPr="00154F5A" w:rsidRDefault="00026E5E" w:rsidP="004B7B41">
            <w:pPr>
              <w:widowControl/>
              <w:jc w:val="center"/>
              <w:rPr>
                <w:kern w:val="0"/>
                <w:szCs w:val="21"/>
              </w:rPr>
            </w:pPr>
            <w:r w:rsidRPr="00154F5A">
              <w:rPr>
                <w:rFonts w:hAnsi="宋体"/>
                <w:kern w:val="0"/>
                <w:szCs w:val="21"/>
              </w:rPr>
              <w:t>吨</w:t>
            </w:r>
          </w:p>
        </w:tc>
        <w:tc>
          <w:tcPr>
            <w:tcW w:w="708"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1393</w:t>
            </w:r>
          </w:p>
        </w:tc>
        <w:tc>
          <w:tcPr>
            <w:tcW w:w="851" w:type="dxa"/>
            <w:shd w:val="clear" w:color="auto" w:fill="auto"/>
            <w:noWrap/>
            <w:vAlign w:val="center"/>
            <w:hideMark/>
          </w:tcPr>
          <w:p w:rsidR="00026E5E" w:rsidRPr="00154F5A" w:rsidRDefault="00026E5E" w:rsidP="004B7B41">
            <w:pPr>
              <w:widowControl/>
              <w:jc w:val="center"/>
              <w:rPr>
                <w:kern w:val="0"/>
                <w:szCs w:val="21"/>
              </w:rPr>
            </w:pPr>
            <w:r w:rsidRPr="00154F5A">
              <w:rPr>
                <w:rFonts w:hAnsi="宋体"/>
                <w:kern w:val="0"/>
                <w:szCs w:val="21"/>
              </w:rPr>
              <w:t>待市下达</w:t>
            </w:r>
          </w:p>
        </w:tc>
        <w:tc>
          <w:tcPr>
            <w:tcW w:w="709"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w:t>
            </w:r>
          </w:p>
        </w:tc>
        <w:tc>
          <w:tcPr>
            <w:tcW w:w="708"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1604</w:t>
            </w:r>
          </w:p>
        </w:tc>
        <w:tc>
          <w:tcPr>
            <w:tcW w:w="709"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1577</w:t>
            </w:r>
          </w:p>
        </w:tc>
        <w:tc>
          <w:tcPr>
            <w:tcW w:w="709"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1631</w:t>
            </w:r>
          </w:p>
        </w:tc>
        <w:tc>
          <w:tcPr>
            <w:tcW w:w="876" w:type="dxa"/>
            <w:shd w:val="clear" w:color="auto" w:fill="auto"/>
            <w:noWrap/>
            <w:vAlign w:val="center"/>
            <w:hideMark/>
          </w:tcPr>
          <w:p w:rsidR="00026E5E" w:rsidRPr="00154F5A" w:rsidRDefault="00026E5E" w:rsidP="004B7B41">
            <w:pPr>
              <w:widowControl/>
              <w:jc w:val="center"/>
              <w:rPr>
                <w:rFonts w:eastAsia="等线"/>
                <w:kern w:val="0"/>
                <w:szCs w:val="21"/>
              </w:rPr>
            </w:pPr>
          </w:p>
        </w:tc>
        <w:tc>
          <w:tcPr>
            <w:tcW w:w="723"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-0.29</w:t>
            </w:r>
          </w:p>
        </w:tc>
        <w:tc>
          <w:tcPr>
            <w:tcW w:w="811" w:type="dxa"/>
            <w:shd w:val="clear" w:color="auto" w:fill="auto"/>
            <w:noWrap/>
            <w:vAlign w:val="center"/>
            <w:hideMark/>
          </w:tcPr>
          <w:p w:rsidR="00026E5E" w:rsidRPr="00154F5A" w:rsidRDefault="00026E5E" w:rsidP="004B7B41">
            <w:pPr>
              <w:widowControl/>
              <w:jc w:val="center"/>
              <w:rPr>
                <w:rFonts w:eastAsia="等线"/>
                <w:kern w:val="0"/>
                <w:szCs w:val="21"/>
              </w:rPr>
            </w:pPr>
          </w:p>
        </w:tc>
        <w:tc>
          <w:tcPr>
            <w:tcW w:w="850" w:type="dxa"/>
            <w:shd w:val="clear" w:color="auto" w:fill="auto"/>
            <w:noWrap/>
            <w:vAlign w:val="center"/>
            <w:hideMark/>
          </w:tcPr>
          <w:p w:rsidR="00026E5E" w:rsidRPr="00154F5A" w:rsidRDefault="00026E5E" w:rsidP="004B7B41">
            <w:pPr>
              <w:widowControl/>
              <w:jc w:val="center"/>
              <w:rPr>
                <w:rFonts w:eastAsia="等线"/>
                <w:kern w:val="0"/>
                <w:szCs w:val="21"/>
              </w:rPr>
            </w:pPr>
            <w:r w:rsidRPr="00154F5A">
              <w:rPr>
                <w:rFonts w:eastAsia="等线"/>
                <w:kern w:val="0"/>
                <w:szCs w:val="21"/>
              </w:rPr>
              <w:t>-</w:t>
            </w:r>
          </w:p>
        </w:tc>
        <w:tc>
          <w:tcPr>
            <w:tcW w:w="992" w:type="dxa"/>
            <w:shd w:val="clear" w:color="auto" w:fill="auto"/>
            <w:noWrap/>
            <w:vAlign w:val="center"/>
            <w:hideMark/>
          </w:tcPr>
          <w:p w:rsidR="00026E5E" w:rsidRPr="00154F5A" w:rsidRDefault="00026E5E" w:rsidP="004B7B41">
            <w:pPr>
              <w:widowControl/>
              <w:jc w:val="center"/>
              <w:rPr>
                <w:rFonts w:eastAsia="等线"/>
                <w:kern w:val="0"/>
                <w:szCs w:val="21"/>
              </w:rPr>
            </w:pPr>
            <w:r>
              <w:rPr>
                <w:rFonts w:eastAsia="等线" w:hAnsi="Calibri"/>
                <w:kern w:val="0"/>
                <w:szCs w:val="21"/>
              </w:rPr>
              <w:t>是</w:t>
            </w:r>
          </w:p>
        </w:tc>
        <w:tc>
          <w:tcPr>
            <w:tcW w:w="976" w:type="dxa"/>
            <w:shd w:val="clear" w:color="auto" w:fill="auto"/>
            <w:noWrap/>
            <w:vAlign w:val="center"/>
            <w:hideMark/>
          </w:tcPr>
          <w:p w:rsidR="00026E5E" w:rsidRPr="00154F5A" w:rsidRDefault="00026E5E" w:rsidP="004B7B41">
            <w:pPr>
              <w:widowControl/>
              <w:jc w:val="center"/>
              <w:rPr>
                <w:rFonts w:eastAsia="等线"/>
                <w:kern w:val="0"/>
                <w:szCs w:val="21"/>
              </w:rPr>
            </w:pPr>
            <w:r>
              <w:rPr>
                <w:rFonts w:eastAsia="等线" w:hAnsi="Calibri"/>
                <w:kern w:val="0"/>
                <w:szCs w:val="21"/>
              </w:rPr>
              <w:t>可完成</w:t>
            </w:r>
          </w:p>
        </w:tc>
        <w:tc>
          <w:tcPr>
            <w:tcW w:w="616" w:type="dxa"/>
            <w:shd w:val="clear" w:color="auto" w:fill="auto"/>
            <w:noWrap/>
            <w:vAlign w:val="center"/>
            <w:hideMark/>
          </w:tcPr>
          <w:p w:rsidR="00026E5E" w:rsidRPr="00154F5A" w:rsidRDefault="00026E5E" w:rsidP="004B7B41">
            <w:pPr>
              <w:widowControl/>
              <w:jc w:val="center"/>
              <w:rPr>
                <w:kern w:val="0"/>
                <w:szCs w:val="21"/>
              </w:rPr>
            </w:pPr>
            <w:r w:rsidRPr="00154F5A">
              <w:rPr>
                <w:rFonts w:hAnsi="宋体"/>
                <w:kern w:val="0"/>
                <w:szCs w:val="21"/>
              </w:rPr>
              <w:t>约束性</w:t>
            </w:r>
          </w:p>
        </w:tc>
      </w:tr>
      <w:tr w:rsidR="00026E5E" w:rsidRPr="00154F5A" w:rsidTr="004B7B41">
        <w:trPr>
          <w:trHeight w:val="300"/>
        </w:trPr>
        <w:tc>
          <w:tcPr>
            <w:tcW w:w="749" w:type="dxa"/>
            <w:vMerge/>
            <w:vAlign w:val="center"/>
            <w:hideMark/>
          </w:tcPr>
          <w:p w:rsidR="00026E5E" w:rsidRPr="00154F5A" w:rsidRDefault="00026E5E" w:rsidP="004B7B41">
            <w:pPr>
              <w:widowControl/>
              <w:jc w:val="center"/>
              <w:rPr>
                <w:kern w:val="0"/>
                <w:szCs w:val="21"/>
              </w:rPr>
            </w:pPr>
          </w:p>
        </w:tc>
        <w:tc>
          <w:tcPr>
            <w:tcW w:w="537"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30</w:t>
            </w:r>
          </w:p>
        </w:tc>
        <w:tc>
          <w:tcPr>
            <w:tcW w:w="1843" w:type="dxa"/>
            <w:shd w:val="clear" w:color="auto" w:fill="auto"/>
            <w:noWrap/>
            <w:vAlign w:val="center"/>
            <w:hideMark/>
          </w:tcPr>
          <w:p w:rsidR="00026E5E" w:rsidRPr="00154F5A" w:rsidRDefault="00026E5E" w:rsidP="004B7B41">
            <w:pPr>
              <w:widowControl/>
              <w:jc w:val="center"/>
              <w:rPr>
                <w:kern w:val="0"/>
                <w:szCs w:val="21"/>
              </w:rPr>
            </w:pPr>
            <w:r w:rsidRPr="00154F5A">
              <w:rPr>
                <w:rFonts w:hAnsi="宋体"/>
                <w:kern w:val="0"/>
                <w:szCs w:val="21"/>
              </w:rPr>
              <w:t>氨氮排放量</w:t>
            </w:r>
          </w:p>
        </w:tc>
        <w:tc>
          <w:tcPr>
            <w:tcW w:w="709" w:type="dxa"/>
            <w:shd w:val="clear" w:color="auto" w:fill="auto"/>
            <w:noWrap/>
            <w:vAlign w:val="center"/>
            <w:hideMark/>
          </w:tcPr>
          <w:p w:rsidR="00026E5E" w:rsidRPr="00154F5A" w:rsidRDefault="00026E5E" w:rsidP="004B7B41">
            <w:pPr>
              <w:widowControl/>
              <w:jc w:val="center"/>
              <w:rPr>
                <w:kern w:val="0"/>
                <w:szCs w:val="21"/>
              </w:rPr>
            </w:pPr>
            <w:r w:rsidRPr="00154F5A">
              <w:rPr>
                <w:rFonts w:hAnsi="宋体"/>
                <w:kern w:val="0"/>
                <w:szCs w:val="21"/>
              </w:rPr>
              <w:t>吨</w:t>
            </w:r>
          </w:p>
        </w:tc>
        <w:tc>
          <w:tcPr>
            <w:tcW w:w="708"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660</w:t>
            </w:r>
          </w:p>
        </w:tc>
        <w:tc>
          <w:tcPr>
            <w:tcW w:w="851" w:type="dxa"/>
            <w:shd w:val="clear" w:color="auto" w:fill="auto"/>
            <w:noWrap/>
            <w:vAlign w:val="center"/>
            <w:hideMark/>
          </w:tcPr>
          <w:p w:rsidR="00026E5E" w:rsidRPr="00154F5A" w:rsidRDefault="00026E5E" w:rsidP="004B7B41">
            <w:pPr>
              <w:widowControl/>
              <w:jc w:val="center"/>
              <w:rPr>
                <w:kern w:val="0"/>
                <w:szCs w:val="21"/>
              </w:rPr>
            </w:pPr>
            <w:r w:rsidRPr="00154F5A">
              <w:rPr>
                <w:rFonts w:hAnsi="宋体"/>
                <w:kern w:val="0"/>
                <w:szCs w:val="21"/>
              </w:rPr>
              <w:t>待市下达</w:t>
            </w:r>
          </w:p>
        </w:tc>
        <w:tc>
          <w:tcPr>
            <w:tcW w:w="709"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w:t>
            </w:r>
          </w:p>
        </w:tc>
        <w:tc>
          <w:tcPr>
            <w:tcW w:w="708"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568</w:t>
            </w:r>
          </w:p>
        </w:tc>
        <w:tc>
          <w:tcPr>
            <w:tcW w:w="709"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441</w:t>
            </w:r>
          </w:p>
        </w:tc>
        <w:tc>
          <w:tcPr>
            <w:tcW w:w="709"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411</w:t>
            </w:r>
          </w:p>
        </w:tc>
        <w:tc>
          <w:tcPr>
            <w:tcW w:w="876" w:type="dxa"/>
            <w:shd w:val="clear" w:color="auto" w:fill="auto"/>
            <w:noWrap/>
            <w:vAlign w:val="center"/>
            <w:hideMark/>
          </w:tcPr>
          <w:p w:rsidR="00026E5E" w:rsidRPr="00154F5A" w:rsidRDefault="00026E5E" w:rsidP="004B7B41">
            <w:pPr>
              <w:widowControl/>
              <w:jc w:val="center"/>
              <w:rPr>
                <w:rFonts w:eastAsia="等线"/>
                <w:kern w:val="0"/>
                <w:szCs w:val="21"/>
              </w:rPr>
            </w:pPr>
          </w:p>
        </w:tc>
        <w:tc>
          <w:tcPr>
            <w:tcW w:w="723" w:type="dxa"/>
            <w:shd w:val="clear" w:color="auto" w:fill="auto"/>
            <w:noWrap/>
            <w:vAlign w:val="center"/>
            <w:hideMark/>
          </w:tcPr>
          <w:p w:rsidR="00026E5E" w:rsidRPr="00154F5A" w:rsidRDefault="00026E5E" w:rsidP="004B7B41">
            <w:pPr>
              <w:widowControl/>
              <w:jc w:val="center"/>
              <w:rPr>
                <w:kern w:val="0"/>
                <w:szCs w:val="21"/>
              </w:rPr>
            </w:pPr>
            <w:r w:rsidRPr="00154F5A">
              <w:rPr>
                <w:kern w:val="0"/>
                <w:szCs w:val="21"/>
              </w:rPr>
              <w:t>-0.07</w:t>
            </w:r>
          </w:p>
        </w:tc>
        <w:tc>
          <w:tcPr>
            <w:tcW w:w="811" w:type="dxa"/>
            <w:shd w:val="clear" w:color="auto" w:fill="auto"/>
            <w:noWrap/>
            <w:vAlign w:val="center"/>
            <w:hideMark/>
          </w:tcPr>
          <w:p w:rsidR="00026E5E" w:rsidRPr="00154F5A" w:rsidRDefault="00026E5E" w:rsidP="004B7B41">
            <w:pPr>
              <w:widowControl/>
              <w:jc w:val="center"/>
              <w:rPr>
                <w:rFonts w:eastAsia="等线"/>
                <w:kern w:val="0"/>
                <w:szCs w:val="21"/>
              </w:rPr>
            </w:pPr>
          </w:p>
        </w:tc>
        <w:tc>
          <w:tcPr>
            <w:tcW w:w="850" w:type="dxa"/>
            <w:shd w:val="clear" w:color="auto" w:fill="auto"/>
            <w:noWrap/>
            <w:vAlign w:val="center"/>
            <w:hideMark/>
          </w:tcPr>
          <w:p w:rsidR="00026E5E" w:rsidRPr="00154F5A" w:rsidRDefault="00026E5E" w:rsidP="004B7B41">
            <w:pPr>
              <w:widowControl/>
              <w:jc w:val="center"/>
              <w:rPr>
                <w:rFonts w:eastAsia="等线"/>
                <w:kern w:val="0"/>
                <w:szCs w:val="21"/>
              </w:rPr>
            </w:pPr>
            <w:r w:rsidRPr="00154F5A">
              <w:rPr>
                <w:rFonts w:eastAsia="等线"/>
                <w:kern w:val="0"/>
                <w:szCs w:val="21"/>
              </w:rPr>
              <w:t>-</w:t>
            </w:r>
          </w:p>
        </w:tc>
        <w:tc>
          <w:tcPr>
            <w:tcW w:w="992" w:type="dxa"/>
            <w:shd w:val="clear" w:color="auto" w:fill="auto"/>
            <w:noWrap/>
            <w:vAlign w:val="center"/>
            <w:hideMark/>
          </w:tcPr>
          <w:p w:rsidR="00026E5E" w:rsidRPr="00154F5A" w:rsidRDefault="00026E5E" w:rsidP="004B7B41">
            <w:pPr>
              <w:widowControl/>
              <w:jc w:val="center"/>
              <w:rPr>
                <w:rFonts w:eastAsia="等线"/>
                <w:kern w:val="0"/>
                <w:szCs w:val="21"/>
              </w:rPr>
            </w:pPr>
            <w:r>
              <w:rPr>
                <w:rFonts w:eastAsia="等线" w:hAnsi="Calibri"/>
                <w:kern w:val="0"/>
                <w:szCs w:val="21"/>
              </w:rPr>
              <w:t>是</w:t>
            </w:r>
          </w:p>
        </w:tc>
        <w:tc>
          <w:tcPr>
            <w:tcW w:w="976" w:type="dxa"/>
            <w:shd w:val="clear" w:color="auto" w:fill="auto"/>
            <w:noWrap/>
            <w:vAlign w:val="center"/>
            <w:hideMark/>
          </w:tcPr>
          <w:p w:rsidR="00026E5E" w:rsidRPr="00154F5A" w:rsidRDefault="00026E5E" w:rsidP="004B7B41">
            <w:pPr>
              <w:widowControl/>
              <w:jc w:val="center"/>
              <w:rPr>
                <w:rFonts w:eastAsia="等线"/>
                <w:kern w:val="0"/>
                <w:szCs w:val="21"/>
              </w:rPr>
            </w:pPr>
            <w:r>
              <w:rPr>
                <w:rFonts w:eastAsia="等线" w:hAnsi="Calibri"/>
                <w:kern w:val="0"/>
                <w:szCs w:val="21"/>
              </w:rPr>
              <w:t>可完成</w:t>
            </w:r>
          </w:p>
        </w:tc>
        <w:tc>
          <w:tcPr>
            <w:tcW w:w="616" w:type="dxa"/>
            <w:shd w:val="clear" w:color="auto" w:fill="auto"/>
            <w:noWrap/>
            <w:vAlign w:val="center"/>
            <w:hideMark/>
          </w:tcPr>
          <w:p w:rsidR="00026E5E" w:rsidRPr="00154F5A" w:rsidRDefault="00026E5E" w:rsidP="004B7B41">
            <w:pPr>
              <w:widowControl/>
              <w:jc w:val="center"/>
              <w:rPr>
                <w:kern w:val="0"/>
                <w:szCs w:val="21"/>
              </w:rPr>
            </w:pPr>
            <w:r w:rsidRPr="00154F5A">
              <w:rPr>
                <w:rFonts w:hAnsi="宋体"/>
                <w:kern w:val="0"/>
                <w:szCs w:val="21"/>
              </w:rPr>
              <w:t>约束性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31</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森林覆盖率</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79.86</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80</w:t>
            </w:r>
          </w:p>
        </w:tc>
        <w:tc>
          <w:tcPr>
            <w:tcW w:w="709"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79.86</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79.88</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79.89</w:t>
            </w:r>
          </w:p>
        </w:tc>
        <w:tc>
          <w:tcPr>
            <w:tcW w:w="876"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23"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11"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21.4%</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否</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争取完成</w:t>
            </w:r>
          </w:p>
        </w:tc>
        <w:tc>
          <w:tcPr>
            <w:tcW w:w="61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约束性</w:t>
            </w:r>
          </w:p>
        </w:tc>
      </w:tr>
      <w:tr w:rsidR="00367AB3" w:rsidRPr="00154F5A" w:rsidTr="004B7B41">
        <w:trPr>
          <w:trHeight w:val="300"/>
        </w:trPr>
        <w:tc>
          <w:tcPr>
            <w:tcW w:w="749" w:type="dxa"/>
            <w:vMerge/>
            <w:vAlign w:val="center"/>
            <w:hideMark/>
          </w:tcPr>
          <w:p w:rsidR="005B010E" w:rsidRPr="00154F5A" w:rsidRDefault="005B010E" w:rsidP="004B7B41">
            <w:pPr>
              <w:widowControl/>
              <w:jc w:val="center"/>
              <w:rPr>
                <w:kern w:val="0"/>
                <w:szCs w:val="21"/>
              </w:rPr>
            </w:pPr>
          </w:p>
        </w:tc>
        <w:tc>
          <w:tcPr>
            <w:tcW w:w="537"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32</w:t>
            </w:r>
          </w:p>
        </w:tc>
        <w:tc>
          <w:tcPr>
            <w:tcW w:w="184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城市人均公园绿地面积</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平方米</w:t>
            </w: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17</w:t>
            </w:r>
          </w:p>
        </w:tc>
        <w:tc>
          <w:tcPr>
            <w:tcW w:w="85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22</w:t>
            </w:r>
          </w:p>
        </w:tc>
        <w:tc>
          <w:tcPr>
            <w:tcW w:w="709" w:type="dxa"/>
            <w:shd w:val="clear" w:color="auto" w:fill="auto"/>
            <w:noWrap/>
            <w:vAlign w:val="center"/>
            <w:hideMark/>
          </w:tcPr>
          <w:p w:rsidR="005B010E" w:rsidRPr="00154F5A" w:rsidRDefault="005B010E" w:rsidP="004B7B41">
            <w:pPr>
              <w:widowControl/>
              <w:jc w:val="center"/>
              <w:rPr>
                <w:rFonts w:eastAsia="等线"/>
                <w:kern w:val="0"/>
                <w:szCs w:val="21"/>
              </w:rPr>
            </w:pPr>
          </w:p>
        </w:tc>
        <w:tc>
          <w:tcPr>
            <w:tcW w:w="708"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21.31</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21.31</w:t>
            </w:r>
          </w:p>
        </w:tc>
        <w:tc>
          <w:tcPr>
            <w:tcW w:w="709"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21.32</w:t>
            </w:r>
          </w:p>
        </w:tc>
        <w:tc>
          <w:tcPr>
            <w:tcW w:w="8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21.32</w:t>
            </w:r>
          </w:p>
        </w:tc>
        <w:tc>
          <w:tcPr>
            <w:tcW w:w="723"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0.023</w:t>
            </w:r>
          </w:p>
        </w:tc>
        <w:tc>
          <w:tcPr>
            <w:tcW w:w="811"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0.016</w:t>
            </w:r>
          </w:p>
        </w:tc>
        <w:tc>
          <w:tcPr>
            <w:tcW w:w="850" w:type="dxa"/>
            <w:shd w:val="clear" w:color="auto" w:fill="auto"/>
            <w:noWrap/>
            <w:vAlign w:val="center"/>
            <w:hideMark/>
          </w:tcPr>
          <w:p w:rsidR="005B010E" w:rsidRPr="00154F5A" w:rsidRDefault="005B010E" w:rsidP="004B7B41">
            <w:pPr>
              <w:widowControl/>
              <w:jc w:val="center"/>
              <w:rPr>
                <w:rFonts w:eastAsia="等线"/>
                <w:kern w:val="0"/>
                <w:szCs w:val="21"/>
              </w:rPr>
            </w:pPr>
            <w:r w:rsidRPr="00154F5A">
              <w:rPr>
                <w:rFonts w:eastAsia="等线"/>
                <w:kern w:val="0"/>
                <w:szCs w:val="21"/>
              </w:rPr>
              <w:t>0.2%</w:t>
            </w:r>
          </w:p>
        </w:tc>
        <w:tc>
          <w:tcPr>
            <w:tcW w:w="992"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否</w:t>
            </w:r>
          </w:p>
        </w:tc>
        <w:tc>
          <w:tcPr>
            <w:tcW w:w="976" w:type="dxa"/>
            <w:shd w:val="clear" w:color="auto" w:fill="auto"/>
            <w:noWrap/>
            <w:vAlign w:val="center"/>
            <w:hideMark/>
          </w:tcPr>
          <w:p w:rsidR="005B010E" w:rsidRPr="00154F5A" w:rsidRDefault="005B010E" w:rsidP="004B7B41">
            <w:pPr>
              <w:widowControl/>
              <w:jc w:val="center"/>
              <w:rPr>
                <w:kern w:val="0"/>
                <w:szCs w:val="21"/>
              </w:rPr>
            </w:pPr>
            <w:r w:rsidRPr="00154F5A">
              <w:rPr>
                <w:kern w:val="0"/>
                <w:szCs w:val="21"/>
              </w:rPr>
              <w:t>争取完成</w:t>
            </w:r>
          </w:p>
        </w:tc>
        <w:tc>
          <w:tcPr>
            <w:tcW w:w="616" w:type="dxa"/>
            <w:shd w:val="clear" w:color="auto" w:fill="auto"/>
            <w:noWrap/>
            <w:vAlign w:val="center"/>
            <w:hideMark/>
          </w:tcPr>
          <w:p w:rsidR="005B010E" w:rsidRPr="00154F5A" w:rsidRDefault="005B010E" w:rsidP="004B7B41">
            <w:pPr>
              <w:widowControl/>
              <w:jc w:val="center"/>
              <w:rPr>
                <w:rFonts w:eastAsia="等线"/>
                <w:kern w:val="0"/>
                <w:szCs w:val="21"/>
              </w:rPr>
            </w:pPr>
          </w:p>
        </w:tc>
      </w:tr>
    </w:tbl>
    <w:p w:rsidR="00B1552E" w:rsidRPr="00154F5A" w:rsidRDefault="00B1552E" w:rsidP="00B1552E"/>
    <w:p w:rsidR="002E33F3" w:rsidRPr="00154F5A" w:rsidRDefault="002E33F3" w:rsidP="002E33F3">
      <w:pPr>
        <w:spacing w:line="574" w:lineRule="exact"/>
        <w:ind w:firstLineChars="200" w:firstLine="592"/>
        <w:rPr>
          <w:rFonts w:ascii="仿宋_GB2312" w:eastAsia="仿宋_GB2312" w:hAnsi="宋体"/>
          <w:spacing w:val="-2"/>
          <w:kern w:val="32"/>
          <w:sz w:val="30"/>
          <w:szCs w:val="30"/>
        </w:rPr>
      </w:pPr>
    </w:p>
    <w:p w:rsidR="002E33F3" w:rsidRPr="00154F5A" w:rsidRDefault="002E33F3" w:rsidP="002E33F3">
      <w:pPr>
        <w:spacing w:line="574" w:lineRule="exact"/>
        <w:ind w:firstLineChars="200" w:firstLine="592"/>
        <w:rPr>
          <w:rFonts w:ascii="仿宋_GB2312" w:eastAsia="仿宋_GB2312" w:hAnsi="宋体"/>
          <w:spacing w:val="-2"/>
          <w:kern w:val="32"/>
          <w:sz w:val="30"/>
          <w:szCs w:val="30"/>
        </w:rPr>
      </w:pPr>
    </w:p>
    <w:p w:rsidR="002E33F3" w:rsidRPr="00154F5A" w:rsidRDefault="002E33F3" w:rsidP="002E33F3">
      <w:pPr>
        <w:spacing w:line="574" w:lineRule="exact"/>
        <w:ind w:firstLineChars="200" w:firstLine="592"/>
        <w:rPr>
          <w:rFonts w:ascii="仿宋_GB2312" w:eastAsia="仿宋_GB2312" w:hAnsi="宋体"/>
          <w:spacing w:val="-2"/>
          <w:kern w:val="32"/>
          <w:sz w:val="30"/>
          <w:szCs w:val="30"/>
        </w:rPr>
      </w:pPr>
    </w:p>
    <w:sectPr w:rsidR="002E33F3" w:rsidRPr="00154F5A" w:rsidSect="00B1552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030" w:rsidRDefault="00027030" w:rsidP="00E25E05">
      <w:r>
        <w:separator/>
      </w:r>
    </w:p>
  </w:endnote>
  <w:endnote w:type="continuationSeparator" w:id="1">
    <w:p w:rsidR="00027030" w:rsidRDefault="00027030" w:rsidP="00E25E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文星黑体">
    <w:altName w:val="Arial Unicode MS"/>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5490"/>
      <w:docPartObj>
        <w:docPartGallery w:val="Page Numbers (Bottom of Page)"/>
        <w:docPartUnique/>
      </w:docPartObj>
    </w:sdtPr>
    <w:sdtContent>
      <w:p w:rsidR="005C6476" w:rsidRDefault="003F6232">
        <w:pPr>
          <w:pStyle w:val="a4"/>
          <w:jc w:val="center"/>
        </w:pPr>
        <w:fldSimple w:instr=" PAGE   \* MERGEFORMAT ">
          <w:r w:rsidR="006F42EF" w:rsidRPr="006F42EF">
            <w:rPr>
              <w:noProof/>
              <w:lang w:val="zh-CN"/>
            </w:rPr>
            <w:t>32</w:t>
          </w:r>
        </w:fldSimple>
      </w:p>
    </w:sdtContent>
  </w:sdt>
  <w:p w:rsidR="004E7090" w:rsidRDefault="004E70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030" w:rsidRDefault="00027030" w:rsidP="00E25E05">
      <w:r>
        <w:separator/>
      </w:r>
    </w:p>
  </w:footnote>
  <w:footnote w:type="continuationSeparator" w:id="1">
    <w:p w:rsidR="00027030" w:rsidRDefault="00027030" w:rsidP="00E25E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34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5E05"/>
    <w:rsid w:val="00005C2D"/>
    <w:rsid w:val="0001072E"/>
    <w:rsid w:val="00016D28"/>
    <w:rsid w:val="000171A8"/>
    <w:rsid w:val="00023DD5"/>
    <w:rsid w:val="00026E5E"/>
    <w:rsid w:val="00027030"/>
    <w:rsid w:val="000407B3"/>
    <w:rsid w:val="00052605"/>
    <w:rsid w:val="000874FB"/>
    <w:rsid w:val="00093268"/>
    <w:rsid w:val="000A4A7D"/>
    <w:rsid w:val="000B40FC"/>
    <w:rsid w:val="000C4885"/>
    <w:rsid w:val="000D20D0"/>
    <w:rsid w:val="001171A0"/>
    <w:rsid w:val="00120ED0"/>
    <w:rsid w:val="00130E47"/>
    <w:rsid w:val="0013526A"/>
    <w:rsid w:val="001520E4"/>
    <w:rsid w:val="00154F5A"/>
    <w:rsid w:val="00163204"/>
    <w:rsid w:val="001659C9"/>
    <w:rsid w:val="0018008D"/>
    <w:rsid w:val="00186AFA"/>
    <w:rsid w:val="001B1CAC"/>
    <w:rsid w:val="001D14AD"/>
    <w:rsid w:val="001D3CAF"/>
    <w:rsid w:val="001D7741"/>
    <w:rsid w:val="001E4EFE"/>
    <w:rsid w:val="00200B8E"/>
    <w:rsid w:val="00213D00"/>
    <w:rsid w:val="00217A81"/>
    <w:rsid w:val="0022376C"/>
    <w:rsid w:val="00224C08"/>
    <w:rsid w:val="00227747"/>
    <w:rsid w:val="00231090"/>
    <w:rsid w:val="002420FD"/>
    <w:rsid w:val="00251FBA"/>
    <w:rsid w:val="002539E8"/>
    <w:rsid w:val="00261D7C"/>
    <w:rsid w:val="0027006E"/>
    <w:rsid w:val="00273C8A"/>
    <w:rsid w:val="00291D40"/>
    <w:rsid w:val="00294C24"/>
    <w:rsid w:val="002B1DC3"/>
    <w:rsid w:val="002D3CB7"/>
    <w:rsid w:val="002E33F3"/>
    <w:rsid w:val="002E7DFD"/>
    <w:rsid w:val="002F4A3B"/>
    <w:rsid w:val="002F6845"/>
    <w:rsid w:val="00302CAD"/>
    <w:rsid w:val="003066A6"/>
    <w:rsid w:val="00314CDF"/>
    <w:rsid w:val="003156E3"/>
    <w:rsid w:val="003167F6"/>
    <w:rsid w:val="00330F0D"/>
    <w:rsid w:val="003468CB"/>
    <w:rsid w:val="00361BAD"/>
    <w:rsid w:val="00362CAC"/>
    <w:rsid w:val="00362E85"/>
    <w:rsid w:val="00367AB3"/>
    <w:rsid w:val="0037045F"/>
    <w:rsid w:val="00375D3A"/>
    <w:rsid w:val="00382A62"/>
    <w:rsid w:val="003843B1"/>
    <w:rsid w:val="0038564C"/>
    <w:rsid w:val="00392090"/>
    <w:rsid w:val="0039283D"/>
    <w:rsid w:val="003A63F4"/>
    <w:rsid w:val="003D4602"/>
    <w:rsid w:val="003D6C21"/>
    <w:rsid w:val="003E6D56"/>
    <w:rsid w:val="003E75D6"/>
    <w:rsid w:val="003F6232"/>
    <w:rsid w:val="0040677F"/>
    <w:rsid w:val="004152C9"/>
    <w:rsid w:val="0041607C"/>
    <w:rsid w:val="004171AC"/>
    <w:rsid w:val="004171BE"/>
    <w:rsid w:val="00426DD8"/>
    <w:rsid w:val="0042757A"/>
    <w:rsid w:val="00430EA9"/>
    <w:rsid w:val="00435718"/>
    <w:rsid w:val="00446BC6"/>
    <w:rsid w:val="00447CD4"/>
    <w:rsid w:val="00477241"/>
    <w:rsid w:val="0048428A"/>
    <w:rsid w:val="00490AF2"/>
    <w:rsid w:val="00494FB0"/>
    <w:rsid w:val="00496BD1"/>
    <w:rsid w:val="00497501"/>
    <w:rsid w:val="004A52DA"/>
    <w:rsid w:val="004B7B41"/>
    <w:rsid w:val="004C01BD"/>
    <w:rsid w:val="004C4216"/>
    <w:rsid w:val="004C6971"/>
    <w:rsid w:val="004D1228"/>
    <w:rsid w:val="004D7419"/>
    <w:rsid w:val="004E7090"/>
    <w:rsid w:val="005125A5"/>
    <w:rsid w:val="00512FB3"/>
    <w:rsid w:val="00555930"/>
    <w:rsid w:val="00560613"/>
    <w:rsid w:val="00560C31"/>
    <w:rsid w:val="00560F35"/>
    <w:rsid w:val="00566D4A"/>
    <w:rsid w:val="00570EFC"/>
    <w:rsid w:val="00592937"/>
    <w:rsid w:val="005A07FD"/>
    <w:rsid w:val="005A69D1"/>
    <w:rsid w:val="005B010E"/>
    <w:rsid w:val="005B244E"/>
    <w:rsid w:val="005C6476"/>
    <w:rsid w:val="005C7AB5"/>
    <w:rsid w:val="005F18AA"/>
    <w:rsid w:val="005F18FB"/>
    <w:rsid w:val="005F3D1A"/>
    <w:rsid w:val="006077CE"/>
    <w:rsid w:val="006130AB"/>
    <w:rsid w:val="006131F5"/>
    <w:rsid w:val="00614A57"/>
    <w:rsid w:val="006163CB"/>
    <w:rsid w:val="00627024"/>
    <w:rsid w:val="0063398B"/>
    <w:rsid w:val="00641586"/>
    <w:rsid w:val="00673B7B"/>
    <w:rsid w:val="0069045D"/>
    <w:rsid w:val="006922F2"/>
    <w:rsid w:val="006A75E5"/>
    <w:rsid w:val="006B5D58"/>
    <w:rsid w:val="006B73FC"/>
    <w:rsid w:val="006C3C99"/>
    <w:rsid w:val="006D17D8"/>
    <w:rsid w:val="006E16E3"/>
    <w:rsid w:val="006F42EF"/>
    <w:rsid w:val="006F7DFD"/>
    <w:rsid w:val="00706ADE"/>
    <w:rsid w:val="00716087"/>
    <w:rsid w:val="00724BED"/>
    <w:rsid w:val="00727420"/>
    <w:rsid w:val="00735C35"/>
    <w:rsid w:val="00741899"/>
    <w:rsid w:val="00741A03"/>
    <w:rsid w:val="0074331C"/>
    <w:rsid w:val="0074455B"/>
    <w:rsid w:val="00754356"/>
    <w:rsid w:val="0075441B"/>
    <w:rsid w:val="0078014A"/>
    <w:rsid w:val="007A3209"/>
    <w:rsid w:val="007A38D1"/>
    <w:rsid w:val="007B7BB8"/>
    <w:rsid w:val="007D4033"/>
    <w:rsid w:val="00806071"/>
    <w:rsid w:val="00840959"/>
    <w:rsid w:val="00850B79"/>
    <w:rsid w:val="008571E1"/>
    <w:rsid w:val="00862E57"/>
    <w:rsid w:val="008736C0"/>
    <w:rsid w:val="008945C5"/>
    <w:rsid w:val="008B2570"/>
    <w:rsid w:val="008B4CAE"/>
    <w:rsid w:val="008B78FE"/>
    <w:rsid w:val="008D1783"/>
    <w:rsid w:val="00904B2D"/>
    <w:rsid w:val="00915C4A"/>
    <w:rsid w:val="009174C1"/>
    <w:rsid w:val="0093224A"/>
    <w:rsid w:val="00935F3D"/>
    <w:rsid w:val="0094102B"/>
    <w:rsid w:val="0096096A"/>
    <w:rsid w:val="0097479C"/>
    <w:rsid w:val="00981723"/>
    <w:rsid w:val="00986352"/>
    <w:rsid w:val="009A62EE"/>
    <w:rsid w:val="009D1777"/>
    <w:rsid w:val="009D5C67"/>
    <w:rsid w:val="00A11ADB"/>
    <w:rsid w:val="00A139D2"/>
    <w:rsid w:val="00A2038B"/>
    <w:rsid w:val="00A41F57"/>
    <w:rsid w:val="00A660D7"/>
    <w:rsid w:val="00A95792"/>
    <w:rsid w:val="00AA1EF6"/>
    <w:rsid w:val="00AA790F"/>
    <w:rsid w:val="00AE24DC"/>
    <w:rsid w:val="00AE7C7C"/>
    <w:rsid w:val="00AF1190"/>
    <w:rsid w:val="00AF3877"/>
    <w:rsid w:val="00AF5ECB"/>
    <w:rsid w:val="00B016D9"/>
    <w:rsid w:val="00B11677"/>
    <w:rsid w:val="00B13C11"/>
    <w:rsid w:val="00B1552E"/>
    <w:rsid w:val="00B25AC5"/>
    <w:rsid w:val="00B3199E"/>
    <w:rsid w:val="00B35251"/>
    <w:rsid w:val="00B47253"/>
    <w:rsid w:val="00B556FD"/>
    <w:rsid w:val="00B71FB6"/>
    <w:rsid w:val="00B757D7"/>
    <w:rsid w:val="00B770B4"/>
    <w:rsid w:val="00B8468D"/>
    <w:rsid w:val="00B901B9"/>
    <w:rsid w:val="00B908BF"/>
    <w:rsid w:val="00B94F5A"/>
    <w:rsid w:val="00BC245C"/>
    <w:rsid w:val="00BC53E3"/>
    <w:rsid w:val="00BC7D89"/>
    <w:rsid w:val="00BD0C9C"/>
    <w:rsid w:val="00BD3C41"/>
    <w:rsid w:val="00BE24FF"/>
    <w:rsid w:val="00BF0891"/>
    <w:rsid w:val="00C06646"/>
    <w:rsid w:val="00C06E2A"/>
    <w:rsid w:val="00C20B95"/>
    <w:rsid w:val="00C23467"/>
    <w:rsid w:val="00C26456"/>
    <w:rsid w:val="00C36BA0"/>
    <w:rsid w:val="00C420BC"/>
    <w:rsid w:val="00C45030"/>
    <w:rsid w:val="00C953FD"/>
    <w:rsid w:val="00CB5CF1"/>
    <w:rsid w:val="00CB7727"/>
    <w:rsid w:val="00CD5F5F"/>
    <w:rsid w:val="00CD6B3A"/>
    <w:rsid w:val="00CE38CB"/>
    <w:rsid w:val="00CE43C8"/>
    <w:rsid w:val="00CE730D"/>
    <w:rsid w:val="00CF095D"/>
    <w:rsid w:val="00CF4151"/>
    <w:rsid w:val="00D33076"/>
    <w:rsid w:val="00D33C76"/>
    <w:rsid w:val="00D35043"/>
    <w:rsid w:val="00D3743B"/>
    <w:rsid w:val="00D42A93"/>
    <w:rsid w:val="00D44652"/>
    <w:rsid w:val="00D57751"/>
    <w:rsid w:val="00D57B4D"/>
    <w:rsid w:val="00D8236E"/>
    <w:rsid w:val="00D92CB8"/>
    <w:rsid w:val="00D96AFF"/>
    <w:rsid w:val="00DA1C8D"/>
    <w:rsid w:val="00DA4D52"/>
    <w:rsid w:val="00DC315F"/>
    <w:rsid w:val="00DD0CF7"/>
    <w:rsid w:val="00DE3C13"/>
    <w:rsid w:val="00DE5242"/>
    <w:rsid w:val="00DF7BC3"/>
    <w:rsid w:val="00E1016A"/>
    <w:rsid w:val="00E25E05"/>
    <w:rsid w:val="00E378AF"/>
    <w:rsid w:val="00E43936"/>
    <w:rsid w:val="00E45B3D"/>
    <w:rsid w:val="00E50ECC"/>
    <w:rsid w:val="00E51CA8"/>
    <w:rsid w:val="00E57A4B"/>
    <w:rsid w:val="00E60317"/>
    <w:rsid w:val="00E64473"/>
    <w:rsid w:val="00E706C8"/>
    <w:rsid w:val="00E75BD8"/>
    <w:rsid w:val="00E91B91"/>
    <w:rsid w:val="00EB14B1"/>
    <w:rsid w:val="00EC3E8A"/>
    <w:rsid w:val="00EF0E09"/>
    <w:rsid w:val="00EF5AAB"/>
    <w:rsid w:val="00F00ECE"/>
    <w:rsid w:val="00F205C2"/>
    <w:rsid w:val="00F354B4"/>
    <w:rsid w:val="00F37637"/>
    <w:rsid w:val="00F56938"/>
    <w:rsid w:val="00F718A8"/>
    <w:rsid w:val="00F72AD3"/>
    <w:rsid w:val="00F837D1"/>
    <w:rsid w:val="00F83CC9"/>
    <w:rsid w:val="00F842C6"/>
    <w:rsid w:val="00F85509"/>
    <w:rsid w:val="00F858F0"/>
    <w:rsid w:val="00F95583"/>
    <w:rsid w:val="00F96355"/>
    <w:rsid w:val="00FA5739"/>
    <w:rsid w:val="00FB2EA7"/>
    <w:rsid w:val="00FC5978"/>
    <w:rsid w:val="00FD43B6"/>
    <w:rsid w:val="00FE17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5E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5E05"/>
    <w:rPr>
      <w:sz w:val="18"/>
      <w:szCs w:val="18"/>
    </w:rPr>
  </w:style>
  <w:style w:type="paragraph" w:styleId="a4">
    <w:name w:val="footer"/>
    <w:basedOn w:val="a"/>
    <w:link w:val="Char0"/>
    <w:uiPriority w:val="99"/>
    <w:unhideWhenUsed/>
    <w:rsid w:val="00E25E05"/>
    <w:pPr>
      <w:tabs>
        <w:tab w:val="center" w:pos="4153"/>
        <w:tab w:val="right" w:pos="8306"/>
      </w:tabs>
      <w:snapToGrid w:val="0"/>
      <w:jc w:val="left"/>
    </w:pPr>
    <w:rPr>
      <w:sz w:val="18"/>
      <w:szCs w:val="18"/>
    </w:rPr>
  </w:style>
  <w:style w:type="character" w:customStyle="1" w:styleId="Char0">
    <w:name w:val="页脚 Char"/>
    <w:basedOn w:val="a0"/>
    <w:link w:val="a4"/>
    <w:uiPriority w:val="99"/>
    <w:rsid w:val="00E25E05"/>
    <w:rPr>
      <w:sz w:val="18"/>
      <w:szCs w:val="18"/>
    </w:rPr>
  </w:style>
  <w:style w:type="paragraph" w:styleId="a5">
    <w:name w:val="Document Map"/>
    <w:basedOn w:val="a"/>
    <w:link w:val="Char1"/>
    <w:uiPriority w:val="99"/>
    <w:semiHidden/>
    <w:unhideWhenUsed/>
    <w:rsid w:val="00E25E05"/>
    <w:rPr>
      <w:rFonts w:ascii="宋体"/>
      <w:sz w:val="18"/>
      <w:szCs w:val="18"/>
    </w:rPr>
  </w:style>
  <w:style w:type="character" w:customStyle="1" w:styleId="Char1">
    <w:name w:val="文档结构图 Char"/>
    <w:basedOn w:val="a0"/>
    <w:link w:val="a5"/>
    <w:uiPriority w:val="99"/>
    <w:semiHidden/>
    <w:rsid w:val="00E25E05"/>
    <w:rPr>
      <w:rFonts w:ascii="宋体" w:eastAsia="宋体" w:hAnsi="Times New Roman" w:cs="Times New Roman"/>
      <w:sz w:val="18"/>
      <w:szCs w:val="18"/>
    </w:rPr>
  </w:style>
  <w:style w:type="character" w:styleId="a6">
    <w:name w:val="annotation reference"/>
    <w:basedOn w:val="a0"/>
    <w:uiPriority w:val="99"/>
    <w:semiHidden/>
    <w:unhideWhenUsed/>
    <w:rsid w:val="004D1228"/>
    <w:rPr>
      <w:sz w:val="21"/>
      <w:szCs w:val="21"/>
    </w:rPr>
  </w:style>
  <w:style w:type="paragraph" w:styleId="a7">
    <w:name w:val="annotation text"/>
    <w:basedOn w:val="a"/>
    <w:link w:val="Char2"/>
    <w:uiPriority w:val="99"/>
    <w:semiHidden/>
    <w:unhideWhenUsed/>
    <w:rsid w:val="004D1228"/>
    <w:pPr>
      <w:jc w:val="left"/>
    </w:pPr>
  </w:style>
  <w:style w:type="character" w:customStyle="1" w:styleId="Char2">
    <w:name w:val="批注文字 Char"/>
    <w:basedOn w:val="a0"/>
    <w:link w:val="a7"/>
    <w:uiPriority w:val="99"/>
    <w:semiHidden/>
    <w:rsid w:val="004D1228"/>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4D1228"/>
    <w:rPr>
      <w:b/>
      <w:bCs/>
    </w:rPr>
  </w:style>
  <w:style w:type="character" w:customStyle="1" w:styleId="Char3">
    <w:name w:val="批注主题 Char"/>
    <w:basedOn w:val="Char2"/>
    <w:link w:val="a8"/>
    <w:uiPriority w:val="99"/>
    <w:semiHidden/>
    <w:rsid w:val="004D1228"/>
    <w:rPr>
      <w:b/>
      <w:bCs/>
    </w:rPr>
  </w:style>
  <w:style w:type="paragraph" w:styleId="a9">
    <w:name w:val="Balloon Text"/>
    <w:basedOn w:val="a"/>
    <w:link w:val="Char4"/>
    <w:uiPriority w:val="99"/>
    <w:semiHidden/>
    <w:unhideWhenUsed/>
    <w:rsid w:val="004D1228"/>
    <w:rPr>
      <w:sz w:val="18"/>
      <w:szCs w:val="18"/>
    </w:rPr>
  </w:style>
  <w:style w:type="character" w:customStyle="1" w:styleId="Char4">
    <w:name w:val="批注框文本 Char"/>
    <w:basedOn w:val="a0"/>
    <w:link w:val="a9"/>
    <w:uiPriority w:val="99"/>
    <w:semiHidden/>
    <w:rsid w:val="004D122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22863444">
      <w:bodyDiv w:val="1"/>
      <w:marLeft w:val="0"/>
      <w:marRight w:val="0"/>
      <w:marTop w:val="0"/>
      <w:marBottom w:val="0"/>
      <w:divBdr>
        <w:top w:val="none" w:sz="0" w:space="0" w:color="auto"/>
        <w:left w:val="none" w:sz="0" w:space="0" w:color="auto"/>
        <w:bottom w:val="none" w:sz="0" w:space="0" w:color="auto"/>
        <w:right w:val="none" w:sz="0" w:space="0" w:color="auto"/>
      </w:divBdr>
    </w:div>
    <w:div w:id="535657266">
      <w:bodyDiv w:val="1"/>
      <w:marLeft w:val="0"/>
      <w:marRight w:val="0"/>
      <w:marTop w:val="0"/>
      <w:marBottom w:val="0"/>
      <w:divBdr>
        <w:top w:val="none" w:sz="0" w:space="0" w:color="auto"/>
        <w:left w:val="none" w:sz="0" w:space="0" w:color="auto"/>
        <w:bottom w:val="none" w:sz="0" w:space="0" w:color="auto"/>
        <w:right w:val="none" w:sz="0" w:space="0" w:color="auto"/>
      </w:divBdr>
    </w:div>
    <w:div w:id="142168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592B3-CA0A-4761-BFB9-D1B15CA9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48</Pages>
  <Words>3801</Words>
  <Characters>21669</Characters>
  <Application>Microsoft Office Word</Application>
  <DocSecurity>0</DocSecurity>
  <Lines>180</Lines>
  <Paragraphs>50</Paragraphs>
  <ScaleCrop>false</ScaleCrop>
  <Company/>
  <LinksUpToDate>false</LinksUpToDate>
  <CharactersWithSpaces>25420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AutoBVT</cp:lastModifiedBy>
  <cp:revision>218</cp:revision>
  <cp:lastPrinted>2018-12-10T03:32:00Z</cp:lastPrinted>
  <dcterms:created xsi:type="dcterms:W3CDTF">2018-08-07T03:43:00Z</dcterms:created>
  <dcterms:modified xsi:type="dcterms:W3CDTF">2018-12-10T09:12:00Z</dcterms:modified>
</cp:coreProperties>
</file>