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A8E" w:rsidRPr="005B5D07" w:rsidRDefault="00E70A8E" w:rsidP="00E70A8E">
      <w:pPr>
        <w:rPr>
          <w:rFonts w:ascii="黑体" w:eastAsia="黑体" w:hAnsi="黑体" w:cs="仿宋_GB2312"/>
          <w:sz w:val="32"/>
          <w:szCs w:val="32"/>
        </w:rPr>
      </w:pPr>
      <w:r w:rsidRPr="005B5D07">
        <w:rPr>
          <w:rFonts w:ascii="黑体" w:eastAsia="黑体" w:hAnsi="黑体" w:cs="仿宋_GB2312" w:hint="eastAsia"/>
          <w:sz w:val="32"/>
          <w:szCs w:val="32"/>
        </w:rPr>
        <w:t>附件5</w:t>
      </w:r>
    </w:p>
    <w:p w:rsidR="00E70A8E" w:rsidRDefault="00E70A8E" w:rsidP="00E70A8E">
      <w:pPr>
        <w:spacing w:line="600" w:lineRule="exact"/>
        <w:jc w:val="center"/>
        <w:rPr>
          <w:rFonts w:ascii="华文中宋" w:eastAsia="华文中宋" w:hAnsi="华文中宋" w:cs="仿宋_GB2312" w:hint="eastAsia"/>
          <w:sz w:val="44"/>
          <w:szCs w:val="44"/>
        </w:rPr>
      </w:pPr>
      <w:r w:rsidRPr="005B5D07">
        <w:rPr>
          <w:rFonts w:ascii="华文中宋" w:eastAsia="华文中宋" w:hAnsi="华文中宋" w:cs="仿宋_GB2312" w:hint="eastAsia"/>
          <w:sz w:val="44"/>
          <w:szCs w:val="44"/>
        </w:rPr>
        <w:t>县相关单位职责分工</w:t>
      </w:r>
    </w:p>
    <w:p w:rsidR="00E70A8E" w:rsidRPr="005B5D07" w:rsidRDefault="00E70A8E" w:rsidP="00E70A8E">
      <w:pPr>
        <w:spacing w:line="400" w:lineRule="exact"/>
        <w:jc w:val="center"/>
        <w:rPr>
          <w:rFonts w:ascii="华文中宋" w:eastAsia="华文中宋" w:hAnsi="华文中宋" w:cs="仿宋_GB2312"/>
          <w:sz w:val="44"/>
          <w:szCs w:val="44"/>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32"/>
        <w:gridCol w:w="7030"/>
      </w:tblGrid>
      <w:tr w:rsidR="00E70A8E" w:rsidTr="006B47EB">
        <w:trPr>
          <w:trHeight w:val="630"/>
          <w:tblHeader/>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序号</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单位（部门）</w:t>
            </w:r>
          </w:p>
        </w:tc>
        <w:tc>
          <w:tcPr>
            <w:tcW w:w="7030"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职 责 分 工</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1</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发展</w:t>
            </w:r>
            <w:r>
              <w:rPr>
                <w:rFonts w:ascii="仿宋_GB2312" w:eastAsia="仿宋_GB2312" w:hAnsi="仿宋_GB2312" w:cs="仿宋_GB2312" w:hint="eastAsia"/>
                <w:kern w:val="0"/>
                <w:sz w:val="28"/>
                <w:szCs w:val="28"/>
              </w:rPr>
              <w:t>和</w:t>
            </w:r>
            <w:r w:rsidRPr="00A3134D">
              <w:rPr>
                <w:rFonts w:ascii="仿宋_GB2312" w:eastAsia="仿宋_GB2312" w:hAnsi="仿宋_GB2312" w:cs="仿宋_GB2312" w:hint="eastAsia"/>
                <w:kern w:val="0"/>
                <w:sz w:val="28"/>
                <w:szCs w:val="28"/>
              </w:rPr>
              <w:t>改革部门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相关法律、法规和国家发展改革委《产业结构调整指导目录》《广东省主体功能区产业发展指导目录》和市相关要求，严把政策及审批关，排查不符合产业政策、产业布局规划、主体功能区产业准入负面清单的企业，并依法予以查处；对符合条件的新建项目，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2</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经济和信息化部门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依据《中华人民共和国节约能源法》等法律、法规，对违法行为督促有关职能部门依法予以严厉查处。</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3</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公安部门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依法严厉打击干扰、破坏查处工作的违法犯罪行为，及时依法处理移交的案件。</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4</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国土资源部门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依据《中华人民共和国土地管理法》《中华人民共和国土地管理法实施条例》等法律、法规，严肃查处违法用地行为；对符合条件的，依法完善相关用地手续。</w:t>
            </w:r>
          </w:p>
        </w:tc>
      </w:tr>
      <w:tr w:rsidR="00E70A8E" w:rsidTr="006B47EB">
        <w:trPr>
          <w:trHeight w:val="2571"/>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5</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环境保护部门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对未办理环保手续、违法排放污染物的，依据《中华人民共和国环境保护法》《中华人民共和国环境影响评价法》《中华人民共和国大气污染防治法》《中华人民共和国水污染防治法》等，依法严厉查处；加大环保执法力度，对适用行政拘留处罚、构成犯罪的环境违法案件，及时调查取证移交公安部门；对符合条件的，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6</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住房</w:t>
            </w:r>
            <w:r>
              <w:rPr>
                <w:rFonts w:ascii="仿宋_GB2312" w:eastAsia="仿宋_GB2312" w:hAnsi="仿宋_GB2312" w:cs="仿宋_GB2312" w:hint="eastAsia"/>
                <w:kern w:val="0"/>
                <w:sz w:val="28"/>
                <w:szCs w:val="28"/>
              </w:rPr>
              <w:t>和</w:t>
            </w:r>
            <w:r w:rsidRPr="00A3134D">
              <w:rPr>
                <w:rFonts w:ascii="仿宋_GB2312" w:eastAsia="仿宋_GB2312" w:hAnsi="仿宋_GB2312" w:cs="仿宋_GB2312" w:hint="eastAsia"/>
                <w:kern w:val="0"/>
                <w:sz w:val="28"/>
                <w:szCs w:val="28"/>
              </w:rPr>
              <w:t>城乡建设部门（含城市管理、规划）</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对在城市规划区内未取得建设工程规划许可证或者未按照建设工程规划许可证的规定进行建设的项目和行为依法进行查处；对符合条件的，依法办理相关手续。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7</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水务部门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依据《中华人民共和国水法 》《取水许可和水资源费征收管理条例》《入河排污口监督管理办法》《饮用水水源保护区污染防治管理规定》等法律、法规，对“散乱污”工业企业（场所）取水、入河排污口设置情况严格排查，依法查处非法“自备井”和非法入河排污口，对已关停取缔企业的取水许可证予以注销、责令该企业限期恢复原状；对符合条件的，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8</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农业部门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依据《中华人民共和国农业法》《中华人民共和国乡镇企业法》《中华人民共和国农村土地承包法》等法</w:t>
            </w:r>
            <w:r w:rsidRPr="00A3134D">
              <w:rPr>
                <w:rFonts w:ascii="仿宋_GB2312" w:eastAsia="仿宋_GB2312" w:hAnsi="仿宋_GB2312" w:cs="仿宋_GB2312" w:hint="eastAsia"/>
                <w:kern w:val="0"/>
                <w:sz w:val="28"/>
                <w:szCs w:val="28"/>
              </w:rPr>
              <w:lastRenderedPageBreak/>
              <w:t>律、法规，开展养殖基地、种植基地、工业园区外从事农产品加工企业的整治工作，以及违规使用闲置设施农业房屋、违规使用农用地进行生产经营活动的整治。</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lastRenderedPageBreak/>
              <w:t>9</w:t>
            </w:r>
          </w:p>
        </w:tc>
        <w:tc>
          <w:tcPr>
            <w:tcW w:w="1732" w:type="dxa"/>
            <w:vMerge w:val="restart"/>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工商</w:t>
            </w:r>
            <w:r>
              <w:rPr>
                <w:rFonts w:ascii="仿宋_GB2312" w:eastAsia="仿宋_GB2312" w:hAnsi="仿宋_GB2312" w:cs="仿宋_GB2312" w:hint="eastAsia"/>
                <w:kern w:val="0"/>
                <w:sz w:val="28"/>
                <w:szCs w:val="28"/>
              </w:rPr>
              <w:t>和</w:t>
            </w:r>
            <w:r w:rsidRPr="00A3134D">
              <w:rPr>
                <w:rFonts w:ascii="仿宋_GB2312" w:eastAsia="仿宋_GB2312" w:hAnsi="仿宋_GB2312" w:cs="仿宋_GB2312" w:hint="eastAsia"/>
                <w:kern w:val="0"/>
                <w:sz w:val="28"/>
                <w:szCs w:val="28"/>
              </w:rPr>
              <w:t>质监部门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依据《无证无照经营查处办法》等法律、法规，严厉查处无须取得相关审批许可手续且未办理工商营业执照的“散乱污”场所；对于人民政府决定关闭的企业依法及时吊销营业执照或核准注销登记; 对符合登记条件的企业，依法办理有关手续。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10</w:t>
            </w:r>
          </w:p>
        </w:tc>
        <w:tc>
          <w:tcPr>
            <w:tcW w:w="1732" w:type="dxa"/>
            <w:vMerge/>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和国标准化法》《中华人民共和国产品质量法》《中华人民共和国计量法》等法律、法规，对“散乱污”生产企业产品质量严格监管，严肃查处产品质量违法行为；对符合条件的，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11</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安全监管部门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w:t>
            </w:r>
            <w:r>
              <w:rPr>
                <w:rFonts w:ascii="仿宋_GB2312" w:eastAsia="仿宋_GB2312" w:hAnsi="仿宋_GB2312" w:cs="仿宋_GB2312" w:hint="eastAsia"/>
                <w:kern w:val="0"/>
                <w:sz w:val="28"/>
                <w:szCs w:val="28"/>
              </w:rPr>
              <w:t>和国安全生产法》等法律、法规，对存在违反安全生产法律法规行为的“散乱污”</w:t>
            </w:r>
            <w:r w:rsidRPr="00A3134D">
              <w:rPr>
                <w:rFonts w:ascii="仿宋_GB2312" w:eastAsia="仿宋_GB2312" w:hAnsi="仿宋_GB2312" w:cs="仿宋_GB2312" w:hint="eastAsia"/>
                <w:kern w:val="0"/>
                <w:sz w:val="28"/>
                <w:szCs w:val="28"/>
              </w:rPr>
              <w:t>工业企业（场所）进行整治查处；对符合安全生产条件的工业企业（场所）依法办理相关手续。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12</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食品药品监管部门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依据《中华人民共和国食品安全法》等法律、法规，牵头负责对不具备食品药品生产条件的“散乱污”工业企业（场所）的整治查处；对符合条件的，依法办理相关手续。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13</w:t>
            </w:r>
          </w:p>
        </w:tc>
        <w:tc>
          <w:tcPr>
            <w:tcW w:w="1732"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供电部门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协助对关停取缔企业依法实施断电等措施，并加强监督检查，严防断电后私拉乱接；对符合条件的，依法办理相关手续。</w:t>
            </w:r>
          </w:p>
        </w:tc>
      </w:tr>
      <w:tr w:rsidR="00E70A8E" w:rsidTr="006B47EB">
        <w:trPr>
          <w:trHeight w:val="306"/>
          <w:jc w:val="center"/>
        </w:trPr>
        <w:tc>
          <w:tcPr>
            <w:tcW w:w="709" w:type="dxa"/>
            <w:noWrap/>
            <w:vAlign w:val="center"/>
          </w:tcPr>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14</w:t>
            </w:r>
          </w:p>
        </w:tc>
        <w:tc>
          <w:tcPr>
            <w:tcW w:w="1732" w:type="dxa"/>
            <w:noWrap/>
            <w:vAlign w:val="center"/>
          </w:tcPr>
          <w:p w:rsidR="00E70A8E" w:rsidRDefault="00E70A8E" w:rsidP="006B47EB">
            <w:pPr>
              <w:widowControl/>
              <w:spacing w:line="340" w:lineRule="exact"/>
              <w:jc w:val="center"/>
              <w:textAlignment w:val="center"/>
              <w:rPr>
                <w:rFonts w:ascii="仿宋_GB2312" w:eastAsia="仿宋_GB2312" w:hAnsi="仿宋_GB2312" w:cs="仿宋_GB2312" w:hint="eastAsia"/>
                <w:kern w:val="0"/>
                <w:sz w:val="28"/>
                <w:szCs w:val="28"/>
              </w:rPr>
            </w:pPr>
            <w:r w:rsidRPr="00A3134D">
              <w:rPr>
                <w:rFonts w:ascii="仿宋_GB2312" w:eastAsia="仿宋_GB2312" w:hAnsi="仿宋_GB2312" w:cs="仿宋_GB2312" w:hint="eastAsia"/>
                <w:kern w:val="0"/>
                <w:sz w:val="28"/>
                <w:szCs w:val="28"/>
              </w:rPr>
              <w:t>其他有关</w:t>
            </w:r>
          </w:p>
          <w:p w:rsidR="00E70A8E" w:rsidRPr="00A3134D" w:rsidRDefault="00E70A8E" w:rsidP="006B47EB">
            <w:pPr>
              <w:widowControl/>
              <w:spacing w:line="340" w:lineRule="exact"/>
              <w:jc w:val="center"/>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部门</w:t>
            </w:r>
          </w:p>
        </w:tc>
        <w:tc>
          <w:tcPr>
            <w:tcW w:w="7030" w:type="dxa"/>
            <w:noWrap/>
            <w:vAlign w:val="center"/>
          </w:tcPr>
          <w:p w:rsidR="00E70A8E" w:rsidRPr="00A3134D" w:rsidRDefault="00E70A8E" w:rsidP="006B47EB">
            <w:pPr>
              <w:widowControl/>
              <w:spacing w:line="340" w:lineRule="exact"/>
              <w:ind w:firstLineChars="200" w:firstLine="560"/>
              <w:textAlignment w:val="center"/>
              <w:rPr>
                <w:rFonts w:ascii="仿宋_GB2312" w:eastAsia="仿宋_GB2312" w:hAnsi="仿宋_GB2312" w:cs="仿宋_GB2312"/>
                <w:kern w:val="0"/>
                <w:sz w:val="28"/>
                <w:szCs w:val="28"/>
              </w:rPr>
            </w:pPr>
            <w:r w:rsidRPr="00A3134D">
              <w:rPr>
                <w:rFonts w:ascii="仿宋_GB2312" w:eastAsia="仿宋_GB2312" w:hAnsi="仿宋_GB2312" w:cs="仿宋_GB2312" w:hint="eastAsia"/>
                <w:kern w:val="0"/>
                <w:sz w:val="28"/>
                <w:szCs w:val="28"/>
              </w:rPr>
              <w:t>对不符合税务、消防等相关部门管理规定的，由各主管部门依法查处；对符合条件的，依法办理相关手续。</w:t>
            </w:r>
          </w:p>
        </w:tc>
      </w:tr>
    </w:tbl>
    <w:p w:rsidR="00E70A8E" w:rsidRDefault="00E70A8E" w:rsidP="00E70A8E">
      <w:pPr>
        <w:rPr>
          <w:rFonts w:ascii="仿宋_GB2312" w:eastAsia="仿宋_GB2312" w:hAnsi="仿宋_GB2312" w:cs="仿宋_GB2312"/>
          <w:sz w:val="32"/>
          <w:szCs w:val="32"/>
        </w:rPr>
      </w:pPr>
    </w:p>
    <w:p w:rsidR="009A3962" w:rsidRDefault="009A3962"/>
    <w:sectPr w:rsidR="009A3962" w:rsidSect="009A39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9B0" w:rsidRDefault="008449B0" w:rsidP="004F1295">
      <w:r>
        <w:separator/>
      </w:r>
    </w:p>
  </w:endnote>
  <w:endnote w:type="continuationSeparator" w:id="0">
    <w:p w:rsidR="008449B0" w:rsidRDefault="008449B0" w:rsidP="004F12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华文中宋">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9B0" w:rsidRDefault="008449B0" w:rsidP="004F1295">
      <w:r>
        <w:separator/>
      </w:r>
    </w:p>
  </w:footnote>
  <w:footnote w:type="continuationSeparator" w:id="0">
    <w:p w:rsidR="008449B0" w:rsidRDefault="008449B0" w:rsidP="004F12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1C12"/>
    <w:rsid w:val="0020192A"/>
    <w:rsid w:val="0031769A"/>
    <w:rsid w:val="004F1295"/>
    <w:rsid w:val="005675E2"/>
    <w:rsid w:val="006372F8"/>
    <w:rsid w:val="008449B0"/>
    <w:rsid w:val="009A3962"/>
    <w:rsid w:val="00A77947"/>
    <w:rsid w:val="00B00472"/>
    <w:rsid w:val="00C11C12"/>
    <w:rsid w:val="00E70A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A8E"/>
    <w:pPr>
      <w:widowControl w:val="0"/>
      <w:jc w:val="both"/>
    </w:pPr>
    <w:rPr>
      <w:rFonts w:ascii="Calibri" w:eastAsia="宋体" w:hAnsi="Calibri" w:cs="Times New Roman"/>
    </w:rPr>
  </w:style>
  <w:style w:type="paragraph" w:styleId="1">
    <w:name w:val="heading 1"/>
    <w:basedOn w:val="a"/>
    <w:next w:val="a"/>
    <w:link w:val="1Char"/>
    <w:uiPriority w:val="9"/>
    <w:qFormat/>
    <w:rsid w:val="0020192A"/>
    <w:pPr>
      <w:keepNext/>
      <w:keepLines/>
      <w:spacing w:before="340" w:after="330" w:line="578" w:lineRule="auto"/>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0192A"/>
    <w:rPr>
      <w:b/>
      <w:bCs/>
      <w:kern w:val="44"/>
      <w:sz w:val="44"/>
      <w:szCs w:val="44"/>
    </w:rPr>
  </w:style>
  <w:style w:type="paragraph" w:styleId="a3">
    <w:name w:val="header"/>
    <w:basedOn w:val="a"/>
    <w:link w:val="Char"/>
    <w:uiPriority w:val="99"/>
    <w:semiHidden/>
    <w:unhideWhenUsed/>
    <w:rsid w:val="004F129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F1295"/>
    <w:rPr>
      <w:sz w:val="18"/>
      <w:szCs w:val="18"/>
    </w:rPr>
  </w:style>
  <w:style w:type="paragraph" w:styleId="a4">
    <w:name w:val="footer"/>
    <w:basedOn w:val="a"/>
    <w:link w:val="Char0"/>
    <w:uiPriority w:val="99"/>
    <w:semiHidden/>
    <w:unhideWhenUsed/>
    <w:rsid w:val="004F129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129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1230</Characters>
  <Application>Microsoft Office Word</Application>
  <DocSecurity>0</DocSecurity>
  <Lines>10</Lines>
  <Paragraphs>2</Paragraphs>
  <ScaleCrop>false</ScaleCrop>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2019-02-20T01:46:00Z</dcterms:created>
  <dcterms:modified xsi:type="dcterms:W3CDTF">2019-02-20T01:46:00Z</dcterms:modified>
</cp:coreProperties>
</file>